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1196"/>
        <w:gridCol w:w="1725"/>
        <w:gridCol w:w="1332"/>
        <w:gridCol w:w="3118"/>
      </w:tblGrid>
      <w:tr w:rsidR="00D17C4C" w14:paraId="261DA5FC" w14:textId="77777777">
        <w:trPr>
          <w:trHeight w:val="1408"/>
        </w:trPr>
        <w:tc>
          <w:tcPr>
            <w:tcW w:w="4031" w:type="dxa"/>
            <w:gridSpan w:val="2"/>
          </w:tcPr>
          <w:p w14:paraId="78E1DB9B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  <w:bookmarkStart w:id="0" w:name="_GoBack"/>
            <w:bookmarkEnd w:id="0"/>
          </w:p>
          <w:p w14:paraId="0BB2CFCF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</w:p>
          <w:p w14:paraId="65DAED79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</w:p>
          <w:p w14:paraId="1AD51A6B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Bosna i Hercegovina</w:t>
            </w:r>
          </w:p>
          <w:p w14:paraId="7C633E14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Federacija Bosne i Hercegovine</w:t>
            </w:r>
          </w:p>
          <w:p w14:paraId="065182D9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Tuzlanski kanton</w:t>
            </w:r>
          </w:p>
          <w:p w14:paraId="001582CC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MINISTARSTVO ZA RAD, SOCIJALNU POLITIKU I POVRATAK</w:t>
            </w:r>
          </w:p>
        </w:tc>
        <w:tc>
          <w:tcPr>
            <w:tcW w:w="1725" w:type="dxa"/>
            <w:hideMark/>
          </w:tcPr>
          <w:p w14:paraId="544775EB" w14:textId="54EA7D0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  <w:r>
              <w:rPr>
                <w:rFonts w:ascii="Calibri" w:eastAsia="Calibri" w:hAnsi="Calibri" w:cs="Times New Roman"/>
                <w:noProof/>
                <w:color w:val="auto"/>
                <w:kern w:val="2"/>
                <w:sz w:val="22"/>
                <w:szCs w:val="22"/>
                <w:lang w:val="en-GB" w:eastAsia="en-GB"/>
              </w:rPr>
              <w:drawing>
                <wp:inline distT="0" distB="0" distL="0" distR="0" wp14:anchorId="1F2566B4" wp14:editId="5B1A1780">
                  <wp:extent cx="666750" cy="790575"/>
                  <wp:effectExtent l="0" t="0" r="0" b="9525"/>
                  <wp:docPr id="13964944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  <w:gridSpan w:val="2"/>
          </w:tcPr>
          <w:p w14:paraId="54839FD9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eorgia" w:eastAsia="Calibri" w:hAnsi="Georgia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</w:p>
          <w:p w14:paraId="58982963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eorgia" w:eastAsia="Calibri" w:hAnsi="Georgia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</w:p>
          <w:p w14:paraId="6078A7D6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eorgia" w:eastAsia="Calibri" w:hAnsi="Georgia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</w:p>
          <w:p w14:paraId="0FCB93AA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Босна и Херцеговина</w:t>
            </w:r>
          </w:p>
          <w:p w14:paraId="0FEC88D9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Федерација Босне и Херцеговине</w:t>
            </w:r>
          </w:p>
          <w:p w14:paraId="004AA721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Тузлански кантон</w:t>
            </w:r>
          </w:p>
          <w:p w14:paraId="4AFA5C9A" w14:textId="77777777" w:rsidR="00D17C4C" w:rsidRDefault="00D17C4C">
            <w:pPr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МИНИСТАРСТВО ЗА РАД, СОЦИЈАЛНУ ПОЛИТИКУ И ПОВРАТАК</w:t>
            </w:r>
          </w:p>
          <w:p w14:paraId="01BF61F5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</w:p>
        </w:tc>
      </w:tr>
      <w:tr w:rsidR="00D17C4C" w14:paraId="3D645C3E" w14:textId="77777777">
        <w:tc>
          <w:tcPr>
            <w:tcW w:w="2835" w:type="dxa"/>
            <w:hideMark/>
          </w:tcPr>
          <w:p w14:paraId="5A756DF1" w14:textId="688D07FC" w:rsidR="00D17C4C" w:rsidRDefault="00D17C4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3AAA9A27" wp14:editId="6E95167F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591184</wp:posOffset>
                      </wp:positionV>
                      <wp:extent cx="6477000" cy="0"/>
                      <wp:effectExtent l="0" t="0" r="0" b="0"/>
                      <wp:wrapNone/>
                      <wp:docPr id="1112947727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477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15E9E87" id="Straight Connector 4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.4pt,46.55pt" to="510.4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" strokecolor="#548235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4253" w:type="dxa"/>
            <w:gridSpan w:val="3"/>
          </w:tcPr>
          <w:p w14:paraId="6607ACA3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Bosnia and Herzegovina</w:t>
            </w:r>
          </w:p>
          <w:p w14:paraId="4F76CD3E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Federation of Bosnia and Hezegovina</w:t>
            </w:r>
          </w:p>
          <w:p w14:paraId="1BACB02C" w14:textId="77777777" w:rsidR="00D17C4C" w:rsidRDefault="00D17C4C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Tuzla Canton</w:t>
            </w:r>
          </w:p>
          <w:p w14:paraId="4AEF49FF" w14:textId="77777777" w:rsidR="00D17C4C" w:rsidRDefault="00D17C4C">
            <w:pPr>
              <w:tabs>
                <w:tab w:val="center" w:pos="4536"/>
                <w:tab w:val="right" w:pos="9072"/>
              </w:tabs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MINISTRY OF LABOR, SOCIAL AFFAIRS AND RETURN</w:t>
            </w:r>
          </w:p>
          <w:p w14:paraId="58F69673" w14:textId="77777777" w:rsidR="00D17C4C" w:rsidRDefault="00D17C4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</w:p>
        </w:tc>
        <w:tc>
          <w:tcPr>
            <w:tcW w:w="3118" w:type="dxa"/>
          </w:tcPr>
          <w:p w14:paraId="06F69951" w14:textId="77777777" w:rsidR="00D17C4C" w:rsidRDefault="00D17C4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</w:p>
        </w:tc>
      </w:tr>
    </w:tbl>
    <w:p w14:paraId="4E33899E" w14:textId="7B36833B" w:rsidR="00D17C4C" w:rsidRDefault="00D17C4C" w:rsidP="00D17C4C">
      <w:pPr>
        <w:rPr>
          <w:rFonts w:ascii="Times New Roman" w:hAnsi="Times New Roman" w:cs="Times New Roman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DE8983E" wp14:editId="5DB4C6AB">
                <wp:simplePos x="0" y="0"/>
                <wp:positionH relativeFrom="margin">
                  <wp:align>center</wp:align>
                </wp:positionH>
                <wp:positionV relativeFrom="paragraph">
                  <wp:posOffset>133984</wp:posOffset>
                </wp:positionV>
                <wp:extent cx="6457950" cy="0"/>
                <wp:effectExtent l="0" t="0" r="0" b="0"/>
                <wp:wrapNone/>
                <wp:docPr id="15178665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0290C6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margin" from="0,10.55pt" to="508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" strokecolor="#548235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Garamond" w:eastAsia="Calibri" w:hAnsi="Garamond" w:cs="Times New Roman"/>
          <w:color w:val="auto"/>
          <w:kern w:val="2"/>
          <w:sz w:val="17"/>
          <w:szCs w:val="17"/>
          <w:lang w:val="bs-Latn-BA" w:eastAsia="en-US"/>
        </w:rPr>
        <w:t xml:space="preserve">Tuzla, Rudarska 72.;  Tel: +387 35 369 335;  Fax: +387 35 369 355;  minrspp@tk.kim.ba;  www.mrspptk.gov.ba;  </w:t>
      </w:r>
      <w:r>
        <w:rPr>
          <w:rFonts w:ascii="Garamond" w:eastAsia="Calibri" w:hAnsi="Garamond" w:cs="Times New Roman"/>
          <w:color w:val="auto"/>
          <w:kern w:val="2"/>
          <w:sz w:val="17"/>
          <w:szCs w:val="17"/>
          <w:lang w:val="bs-Latn-BA" w:eastAsia="en-US"/>
        </w:rPr>
        <w:fldChar w:fldCharType="begin"/>
      </w:r>
      <w:r>
        <w:rPr>
          <w:rFonts w:ascii="Garamond" w:eastAsia="Calibri" w:hAnsi="Garamond" w:cs="Times New Roman"/>
          <w:color w:val="auto"/>
          <w:kern w:val="2"/>
          <w:sz w:val="17"/>
          <w:szCs w:val="17"/>
          <w:lang w:val="bs-Latn-BA" w:eastAsia="en-US"/>
        </w:rPr>
        <w:instrText>HYPERLINK "http://www.vladatk.gov.ba"</w:instrText>
      </w:r>
      <w:r>
        <w:rPr>
          <w:rFonts w:ascii="Garamond" w:eastAsia="Calibri" w:hAnsi="Garamond" w:cs="Times New Roman"/>
          <w:color w:val="auto"/>
          <w:kern w:val="2"/>
          <w:sz w:val="17"/>
          <w:szCs w:val="17"/>
          <w:lang w:val="bs-Latn-BA" w:eastAsia="en-US"/>
        </w:rPr>
        <w:fldChar w:fldCharType="separate"/>
      </w:r>
      <w:r>
        <w:rPr>
          <w:rStyle w:val="Hiperveza"/>
          <w:rFonts w:ascii="Garamond" w:eastAsia="Calibri" w:hAnsi="Garamond" w:cs="Times New Roman"/>
          <w:color w:val="auto"/>
          <w:kern w:val="2"/>
          <w:sz w:val="17"/>
          <w:szCs w:val="17"/>
          <w:lang w:val="bs-Latn-BA" w:eastAsia="en-US"/>
        </w:rPr>
        <w:t>www.vladatk.gov.ba</w:t>
      </w:r>
      <w:r>
        <w:rPr>
          <w:rFonts w:ascii="Garamond" w:eastAsia="Calibri" w:hAnsi="Garamond" w:cs="Times New Roman"/>
          <w:color w:val="auto"/>
          <w:kern w:val="2"/>
          <w:sz w:val="17"/>
          <w:szCs w:val="17"/>
          <w:lang w:val="bs-Latn-BA" w:eastAsia="en-US"/>
        </w:rPr>
        <w:fldChar w:fldCharType="end"/>
      </w:r>
    </w:p>
    <w:p w14:paraId="2A335D19" w14:textId="77777777" w:rsidR="00D17C4C" w:rsidRDefault="00D17C4C" w:rsidP="00D17C4C">
      <w:pPr>
        <w:ind w:left="360"/>
        <w:rPr>
          <w:rFonts w:ascii="Times New Roman" w:hAnsi="Times New Roman" w:cs="Times New Roman"/>
          <w:color w:val="auto"/>
          <w:lang w:val="hr-BA" w:eastAsia="en-US"/>
        </w:rPr>
      </w:pPr>
    </w:p>
    <w:p w14:paraId="0F8754BD" w14:textId="77777777" w:rsidR="00D17C4C" w:rsidRDefault="00D17C4C" w:rsidP="00D17C4C">
      <w:pPr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Broj: 09/1-11-22681/26</w:t>
      </w:r>
    </w:p>
    <w:p w14:paraId="55CA832B" w14:textId="77777777" w:rsidR="00D17C4C" w:rsidRDefault="00D17C4C" w:rsidP="00D17C4C">
      <w:pPr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Tuzla, 05.08.2026. godine </w:t>
      </w:r>
    </w:p>
    <w:p w14:paraId="5516DE6A" w14:textId="77777777" w:rsidR="00D17C4C" w:rsidRDefault="00D17C4C" w:rsidP="00D17C4C">
      <w:pPr>
        <w:rPr>
          <w:rFonts w:ascii="Times New Roman" w:hAnsi="Times New Roman" w:cs="Times New Roman"/>
          <w:color w:val="auto"/>
          <w:lang w:val="hr-BA" w:eastAsia="en-US"/>
        </w:rPr>
      </w:pPr>
    </w:p>
    <w:p w14:paraId="695F6185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en-GB" w:eastAsia="en-US"/>
        </w:rPr>
        <w:t xml:space="preserve">Na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osnovu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člana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23.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Zakona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o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ministarstvima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i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drugim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organima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uprave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Tuzlanskog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kantona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–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prečišćeni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tekst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(„Sl.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novine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Tuzlanskog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kantona</w:t>
      </w:r>
      <w:proofErr w:type="spellEnd"/>
      <w:proofErr w:type="gramStart"/>
      <w:r>
        <w:rPr>
          <w:rFonts w:ascii="Times New Roman" w:hAnsi="Times New Roman" w:cs="Times New Roman"/>
          <w:color w:val="auto"/>
          <w:lang w:val="en-GB" w:eastAsia="en-US"/>
        </w:rPr>
        <w:t xml:space="preserve">“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broj</w:t>
      </w:r>
      <w:proofErr w:type="spellEnd"/>
      <w:proofErr w:type="gramEnd"/>
      <w:r>
        <w:rPr>
          <w:rFonts w:ascii="Times New Roman" w:hAnsi="Times New Roman" w:cs="Times New Roman"/>
          <w:color w:val="auto"/>
          <w:lang w:val="en-GB" w:eastAsia="en-US"/>
        </w:rPr>
        <w:t xml:space="preserve">: 10/18, 5/24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i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10/25) </w:t>
      </w:r>
      <w:r>
        <w:rPr>
          <w:rFonts w:ascii="Times New Roman" w:hAnsi="Times New Roman" w:cs="Times New Roman"/>
          <w:color w:val="auto"/>
          <w:lang w:val="hr-BA" w:eastAsia="en-US"/>
        </w:rPr>
        <w:t>i člana 78. stav 7. Zakona o izvršenju budžeta Tuzlanskog kantona za 2026. godinu (“Službene novine Tuzlanskog kantona”,broj: 18/25, 3/26 i 8/26), Ministarstvo za rad, socijalnu politiku i povratak Tuzlanskog kantona donosi</w:t>
      </w:r>
    </w:p>
    <w:p w14:paraId="0B2D236E" w14:textId="77777777" w:rsidR="00D17C4C" w:rsidRDefault="00D17C4C" w:rsidP="00D17C4C">
      <w:pPr>
        <w:ind w:left="360"/>
        <w:jc w:val="center"/>
        <w:rPr>
          <w:rFonts w:ascii="Times New Roman" w:hAnsi="Times New Roman" w:cs="Times New Roman"/>
          <w:color w:val="auto"/>
          <w:lang w:val="bs-Latn-BA"/>
        </w:rPr>
      </w:pPr>
    </w:p>
    <w:p w14:paraId="5DB4ECF4" w14:textId="77777777" w:rsidR="00D17C4C" w:rsidRDefault="00D17C4C" w:rsidP="00D17C4C">
      <w:pPr>
        <w:ind w:left="360"/>
        <w:jc w:val="center"/>
        <w:rPr>
          <w:rFonts w:ascii="Times New Roman" w:hAnsi="Times New Roman" w:cs="Times New Roman"/>
          <w:b/>
          <w:bCs/>
          <w:color w:val="auto"/>
          <w:lang w:val="hr-BA" w:eastAsia="en-US"/>
        </w:rPr>
      </w:pPr>
      <w:r>
        <w:rPr>
          <w:rFonts w:ascii="Times New Roman" w:hAnsi="Times New Roman" w:cs="Times New Roman"/>
          <w:b/>
          <w:bCs/>
          <w:color w:val="auto"/>
          <w:lang w:val="hr-BA" w:eastAsia="en-US"/>
        </w:rPr>
        <w:t>P R O G R A M</w:t>
      </w:r>
    </w:p>
    <w:p w14:paraId="00F33D1D" w14:textId="77777777" w:rsidR="00D17C4C" w:rsidRDefault="00D17C4C" w:rsidP="00D17C4C">
      <w:pPr>
        <w:ind w:left="360"/>
        <w:jc w:val="center"/>
        <w:rPr>
          <w:rFonts w:ascii="Times New Roman" w:hAnsi="Times New Roman" w:cs="Times New Roman"/>
          <w:b/>
          <w:bCs/>
          <w:color w:val="auto"/>
          <w:lang w:val="hr-BA" w:eastAsia="en-US"/>
        </w:rPr>
      </w:pPr>
      <w:r>
        <w:rPr>
          <w:rFonts w:ascii="Times New Roman" w:hAnsi="Times New Roman" w:cs="Times New Roman"/>
          <w:b/>
          <w:bCs/>
          <w:color w:val="auto"/>
          <w:lang w:eastAsia="en-US"/>
        </w:rPr>
        <w:t>raspodjele sredstava za podršku smanjenja socijalne isključenosti i razvoja socijalnih usluga za 2026. godinu</w:t>
      </w:r>
    </w:p>
    <w:p w14:paraId="0E7C274D" w14:textId="77777777" w:rsidR="00D17C4C" w:rsidRDefault="00D17C4C" w:rsidP="00D17C4C">
      <w:pPr>
        <w:ind w:left="360"/>
        <w:jc w:val="center"/>
        <w:rPr>
          <w:rFonts w:ascii="Times New Roman" w:hAnsi="Times New Roman" w:cs="Times New Roman"/>
          <w:b/>
          <w:bCs/>
          <w:color w:val="FF0000"/>
          <w:lang w:val="hr-BA" w:eastAsia="en-US"/>
        </w:rPr>
      </w:pPr>
    </w:p>
    <w:p w14:paraId="4BFC7D6E" w14:textId="77777777" w:rsidR="00D17C4C" w:rsidRDefault="00D17C4C" w:rsidP="00D17C4C">
      <w:pPr>
        <w:keepNext/>
        <w:ind w:left="360"/>
        <w:jc w:val="center"/>
        <w:outlineLvl w:val="1"/>
        <w:rPr>
          <w:rFonts w:ascii="Times New Roman" w:hAnsi="Times New Roman" w:cs="Times New Roman"/>
          <w:b/>
          <w:bCs/>
          <w:color w:val="auto"/>
          <w:lang w:val="hr-BA" w:eastAsia="en-US"/>
        </w:rPr>
      </w:pPr>
      <w:r>
        <w:rPr>
          <w:rFonts w:ascii="Times New Roman" w:hAnsi="Times New Roman" w:cs="Times New Roman"/>
          <w:b/>
          <w:bCs/>
          <w:color w:val="auto"/>
          <w:lang w:val="hr-BA" w:eastAsia="en-US"/>
        </w:rPr>
        <w:t>I</w:t>
      </w:r>
    </w:p>
    <w:p w14:paraId="3064BCBE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Ovim Programom utvrđuje se raspodjela sredstava iz budžeta Tuzlanskog kantona za 2026. godinu sa budžetske pozicije 23020009-</w:t>
      </w:r>
      <w:r>
        <w:rPr>
          <w:rFonts w:ascii="Times New Roman" w:hAnsi="Times New Roman" w:cs="Times New Roman"/>
          <w:b/>
          <w:bCs/>
          <w:color w:val="auto"/>
          <w:lang w:val="hr-BA" w:eastAsia="en-US"/>
        </w:rPr>
        <w:t xml:space="preserve"> </w:t>
      </w:r>
      <w:r>
        <w:rPr>
          <w:rFonts w:ascii="Times New Roman" w:hAnsi="Times New Roman" w:cs="Times New Roman"/>
          <w:bCs/>
          <w:color w:val="auto"/>
          <w:lang w:eastAsia="en-US"/>
        </w:rPr>
        <w:t xml:space="preserve">podrška smanjenju socijalne isključenosti </w:t>
      </w:r>
      <w:r>
        <w:rPr>
          <w:rFonts w:ascii="Times New Roman" w:hAnsi="Times New Roman" w:cs="Times New Roman"/>
          <w:color w:val="auto"/>
          <w:lang w:val="hr-BA" w:eastAsia="en-US"/>
        </w:rPr>
        <w:t>u ukupnom iznosu od 400.000,00 KM. Sredstva se raspoređuju organizacijama/udruženjima za podršku realizacije projekata koji imaju sljedeće ciljeve:</w:t>
      </w:r>
    </w:p>
    <w:p w14:paraId="23A983AA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0"/>
        <w:gridCol w:w="1800"/>
      </w:tblGrid>
      <w:tr w:rsidR="00D17C4C" w14:paraId="60437490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E4E7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</w:p>
          <w:p w14:paraId="0A564B16" w14:textId="77777777" w:rsidR="00D17C4C" w:rsidRDefault="00D17C4C">
            <w:pPr>
              <w:spacing w:line="252" w:lineRule="auto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BR.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4450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 xml:space="preserve">                                           CILJEVI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892E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Iznos sredstava u KM</w:t>
            </w:r>
          </w:p>
        </w:tc>
      </w:tr>
      <w:tr w:rsidR="00D17C4C" w14:paraId="376A1C41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A3C3" w14:textId="77777777" w:rsidR="00D17C4C" w:rsidRDefault="00D17C4C">
            <w:pPr>
              <w:numPr>
                <w:ilvl w:val="0"/>
                <w:numId w:val="1"/>
              </w:numPr>
              <w:tabs>
                <w:tab w:val="left" w:pos="975"/>
                <w:tab w:val="left" w:pos="1365"/>
              </w:tabs>
              <w:spacing w:line="252" w:lineRule="auto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3574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Prevencija siromaštva i podrška materijalno neobezbijeđenim pojedincima i porodicama u vidu dodjele prehrambenih i higijenskih paketa i ogreva.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D4CCC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right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80.000,00</w:t>
            </w:r>
          </w:p>
          <w:p w14:paraId="23D82E04" w14:textId="77777777" w:rsidR="00D17C4C" w:rsidRDefault="00D17C4C">
            <w:pPr>
              <w:spacing w:line="252" w:lineRule="auto"/>
              <w:jc w:val="right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</w:tr>
      <w:tr w:rsidR="00D17C4C" w14:paraId="69E6B5E5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CA6B" w14:textId="77777777" w:rsidR="00D17C4C" w:rsidRDefault="00D17C4C">
            <w:pPr>
              <w:numPr>
                <w:ilvl w:val="0"/>
                <w:numId w:val="1"/>
              </w:numPr>
              <w:tabs>
                <w:tab w:val="left" w:pos="975"/>
                <w:tab w:val="left" w:pos="1365"/>
              </w:tabs>
              <w:spacing w:line="252" w:lineRule="auto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5ECA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Podrška djeci i mladima sa višestrukim i najtežim oblicima invaliditeta kroz osiguravanje dostupnosti habilitacijskih i rehabilitacijskih programa, usluga boravka, ranog rasta i razvoja, te drugih vaninstitucionalnih usluga podrške usmjerenih na unapređenje njihovog razvoja, funkcionalnih sposobnosti, kvaliteta života i uključivanje u zajednicu.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51EDC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right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  <w:p w14:paraId="6A2DAF97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right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80.000,00</w:t>
            </w:r>
          </w:p>
          <w:p w14:paraId="75B6339B" w14:textId="77777777" w:rsidR="00D17C4C" w:rsidRDefault="00D17C4C">
            <w:pPr>
              <w:spacing w:line="252" w:lineRule="auto"/>
              <w:jc w:val="right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</w:tr>
      <w:tr w:rsidR="00D17C4C" w14:paraId="24119974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044E" w14:textId="77777777" w:rsidR="00D17C4C" w:rsidRDefault="00D17C4C">
            <w:pPr>
              <w:numPr>
                <w:ilvl w:val="0"/>
                <w:numId w:val="1"/>
              </w:numPr>
              <w:tabs>
                <w:tab w:val="left" w:pos="975"/>
                <w:tab w:val="left" w:pos="1365"/>
              </w:tabs>
              <w:spacing w:line="252" w:lineRule="auto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16AE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Osnaživanje osoba sa invaliditetom kroz podršku u usvajanju znanja, vještina i kompetencija za unapređenje samostanosti u svakodnevnom funkcionisanju, povećanje uključenosti u zajednicu i razvoj oblika podrške usmjerenih na prevenciju institucionalnog smještaja osoba sa invaliditetom.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1CBBB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right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80.000,00</w:t>
            </w:r>
          </w:p>
        </w:tc>
      </w:tr>
      <w:tr w:rsidR="00D17C4C" w14:paraId="1EBCDD26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CCC8" w14:textId="77777777" w:rsidR="00D17C4C" w:rsidRDefault="00D17C4C">
            <w:pPr>
              <w:numPr>
                <w:ilvl w:val="0"/>
                <w:numId w:val="1"/>
              </w:numPr>
              <w:tabs>
                <w:tab w:val="left" w:pos="975"/>
                <w:tab w:val="left" w:pos="1365"/>
              </w:tabs>
              <w:spacing w:line="252" w:lineRule="auto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0618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 xml:space="preserve">Podrška pojedincima i porodicama, koji zbog posebnih okolnosti trebaju podršku (poremećeni porodični odnosi,  problemi u vaspitanju djece i u odnosima roditelja i djece, problemi rizičnih ponašanja djece i omladine, nasilja u porodici i u drugim kriznim situacijama) putem savjetovanja, </w:t>
            </w: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lastRenderedPageBreak/>
              <w:t>usluga sigurne kuće, specifičnih tretmana, razvoja hraniteljstva i drugih  vaninstitucionalnih oblika zaštite koji jačaju instituciju porodice.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7C713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right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lastRenderedPageBreak/>
              <w:t>80.000,00</w:t>
            </w:r>
          </w:p>
        </w:tc>
      </w:tr>
      <w:tr w:rsidR="00D17C4C" w14:paraId="6628F34D" w14:textId="777777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CBF4" w14:textId="77777777" w:rsidR="00D17C4C" w:rsidRDefault="00D17C4C">
            <w:pPr>
              <w:numPr>
                <w:ilvl w:val="0"/>
                <w:numId w:val="1"/>
              </w:numPr>
              <w:tabs>
                <w:tab w:val="left" w:pos="975"/>
                <w:tab w:val="left" w:pos="1365"/>
              </w:tabs>
              <w:spacing w:line="252" w:lineRule="auto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1E9E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Poboljšanje  kvaliteta  življenja starijih lica putem vaninstitucionalnih usluga, usluga pomoći i njege u kući i drugih oblika podrške.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8581D" w14:textId="77777777" w:rsidR="00D17C4C" w:rsidRDefault="00D17C4C">
            <w:pPr>
              <w:tabs>
                <w:tab w:val="left" w:pos="975"/>
                <w:tab w:val="left" w:pos="1365"/>
              </w:tabs>
              <w:spacing w:line="252" w:lineRule="auto"/>
              <w:jc w:val="right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80.000,00</w:t>
            </w:r>
          </w:p>
        </w:tc>
      </w:tr>
    </w:tbl>
    <w:p w14:paraId="4C0AB59A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51E5AC9C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ab/>
      </w:r>
    </w:p>
    <w:p w14:paraId="731BCA70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Projektne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aktivnosti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se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isključivo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mogu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planirati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i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realizirati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najranije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počev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od 01.01.2026.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godine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i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trajati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isključivo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 xml:space="preserve"> do 31.12.2026. </w:t>
      </w:r>
      <w:proofErr w:type="spellStart"/>
      <w:r>
        <w:rPr>
          <w:rFonts w:ascii="Times New Roman" w:hAnsi="Times New Roman" w:cs="Times New Roman"/>
          <w:color w:val="auto"/>
          <w:lang w:val="en-GB" w:eastAsia="en-US"/>
        </w:rPr>
        <w:t>godine</w:t>
      </w:r>
      <w:proofErr w:type="spellEnd"/>
      <w:r>
        <w:rPr>
          <w:rFonts w:ascii="Times New Roman" w:hAnsi="Times New Roman" w:cs="Times New Roman"/>
          <w:color w:val="auto"/>
          <w:lang w:val="en-GB" w:eastAsia="en-US"/>
        </w:rPr>
        <w:t>.</w:t>
      </w:r>
    </w:p>
    <w:p w14:paraId="0C322EDD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Organizacije i udruženja u obrascu projektnog prijedloga za odobravanje sredstava određuju cilj na koji apliciraju sa projektom.</w:t>
      </w:r>
    </w:p>
    <w:p w14:paraId="7C3C97A4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u w:val="single"/>
          <w:lang w:val="hr-BA" w:eastAsia="en-US"/>
        </w:rPr>
        <w:t>Organizacije i udruženja mogu aplicirati samo na jedan cilj</w:t>
      </w:r>
      <w:r>
        <w:rPr>
          <w:rFonts w:ascii="Times New Roman" w:hAnsi="Times New Roman" w:cs="Times New Roman"/>
          <w:color w:val="auto"/>
          <w:lang w:val="hr-BA" w:eastAsia="en-US"/>
        </w:rPr>
        <w:t>.</w:t>
      </w:r>
    </w:p>
    <w:p w14:paraId="3B927A18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U slučaju da organizacije i udruženja apliciraju sa projektima na dva ili više ciljeva, biće razmatran samo projekat koji je uže vezan za djelatnost organizacije/udruženja, a drugi projekat/projekti neće biti razmatrani.</w:t>
      </w:r>
    </w:p>
    <w:p w14:paraId="7D62CCF2" w14:textId="77777777" w:rsidR="00D17C4C" w:rsidRDefault="00D17C4C" w:rsidP="00D17C4C">
      <w:pPr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Ako na neki od ciljeva ne aplicira dovoljan broj organizacija/udruženja i sredstva ostanu neraspoređena, Komisija imenovana od strane ministra za rad, socijalnu politiku i povratak u Vladi Tuzlanskog kantona može neraspoređena sredstva preraspodijeliti na ostale ciljeve koji su definisani Programom.</w:t>
      </w:r>
    </w:p>
    <w:p w14:paraId="525D6523" w14:textId="77777777" w:rsidR="00D17C4C" w:rsidRDefault="00D17C4C" w:rsidP="00D17C4C">
      <w:pPr>
        <w:keepNext/>
        <w:jc w:val="center"/>
        <w:outlineLvl w:val="0"/>
        <w:rPr>
          <w:rFonts w:ascii="Times New Roman" w:hAnsi="Times New Roman" w:cs="Times New Roman"/>
          <w:bCs/>
          <w:color w:val="auto"/>
          <w:lang w:val="hr-BA" w:eastAsia="en-US"/>
        </w:rPr>
      </w:pPr>
      <w:r>
        <w:rPr>
          <w:rFonts w:ascii="Times New Roman" w:hAnsi="Times New Roman" w:cs="Times New Roman"/>
          <w:bCs/>
          <w:color w:val="auto"/>
          <w:lang w:val="hr-BA" w:eastAsia="en-US"/>
        </w:rPr>
        <w:t>II</w:t>
      </w:r>
    </w:p>
    <w:p w14:paraId="63FDC80E" w14:textId="77777777" w:rsidR="00D17C4C" w:rsidRDefault="00D17C4C" w:rsidP="00D17C4C">
      <w:pPr>
        <w:rPr>
          <w:rFonts w:ascii="Times New Roman" w:hAnsi="Times New Roman" w:cs="Times New Roman"/>
          <w:color w:val="auto"/>
          <w:lang w:val="hr-BA" w:eastAsia="en-US"/>
        </w:rPr>
      </w:pPr>
    </w:p>
    <w:p w14:paraId="19F0A0D9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Ministar za rad, socijalnu politiku i povratak u Vladi Tuzlanskog kantona  će sredstva iz tačke I ovog Programa rasporediti posebnim odlukama u skladu sa raspoloživim sredstvima Budžeta i operativnim planovima izvršenja Budžeta za 2026. godinu.</w:t>
      </w:r>
    </w:p>
    <w:p w14:paraId="3F575D8E" w14:textId="77777777" w:rsidR="00D17C4C" w:rsidRDefault="00D17C4C" w:rsidP="00D17C4C">
      <w:pPr>
        <w:rPr>
          <w:rFonts w:ascii="Times New Roman" w:hAnsi="Times New Roman" w:cs="Times New Roman"/>
          <w:color w:val="auto"/>
          <w:lang w:val="hr-BA" w:eastAsia="en-US"/>
        </w:rPr>
      </w:pPr>
    </w:p>
    <w:p w14:paraId="15ACD752" w14:textId="77777777" w:rsidR="00D17C4C" w:rsidRDefault="00D17C4C" w:rsidP="00D17C4C">
      <w:pPr>
        <w:keepNext/>
        <w:jc w:val="center"/>
        <w:outlineLvl w:val="0"/>
        <w:rPr>
          <w:rFonts w:ascii="Times New Roman" w:hAnsi="Times New Roman" w:cs="Times New Roman"/>
          <w:bCs/>
          <w:color w:val="auto"/>
          <w:lang w:val="hr-BA" w:eastAsia="en-US"/>
        </w:rPr>
      </w:pPr>
      <w:r>
        <w:rPr>
          <w:rFonts w:ascii="Times New Roman" w:hAnsi="Times New Roman" w:cs="Times New Roman"/>
          <w:bCs/>
          <w:color w:val="auto"/>
          <w:lang w:val="hr-BA" w:eastAsia="en-US"/>
        </w:rPr>
        <w:t>III</w:t>
      </w:r>
    </w:p>
    <w:p w14:paraId="22CD2A40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33DA9B56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Komisija imenovana od strane ministra za rad, socijalnu politiku i povratak u Vladi Tuzlanskog kantona će utvrditi prijedlog raspodjele sredstava iz tačke I ovog Programa, na osnovu  slijedećih kriterija i načina bodovanja:</w:t>
      </w:r>
    </w:p>
    <w:p w14:paraId="64861406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832"/>
        <w:gridCol w:w="945"/>
        <w:gridCol w:w="945"/>
        <w:gridCol w:w="945"/>
        <w:gridCol w:w="945"/>
        <w:gridCol w:w="948"/>
      </w:tblGrid>
      <w:tr w:rsidR="00D17C4C" w14:paraId="75685D65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0599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62C6" w14:textId="77777777" w:rsidR="00D17C4C" w:rsidRDefault="00D17C4C">
            <w:pPr>
              <w:tabs>
                <w:tab w:val="center" w:pos="3852"/>
                <w:tab w:val="left" w:pos="4725"/>
                <w:tab w:val="left" w:pos="5430"/>
              </w:tabs>
              <w:spacing w:line="252" w:lineRule="auto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KRITERIJI</w:t>
            </w: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ab/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ab/>
              <w:t xml:space="preserve">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1581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Cilj 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CBF4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Cilj 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487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Cilj 3</w:t>
            </w:r>
          </w:p>
          <w:p w14:paraId="603BD6AB" w14:textId="77777777" w:rsidR="00D17C4C" w:rsidRDefault="00D17C4C">
            <w:pPr>
              <w:spacing w:line="252" w:lineRule="auto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3FFA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Cilj 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3C34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Cilj 5</w:t>
            </w:r>
          </w:p>
        </w:tc>
      </w:tr>
      <w:tr w:rsidR="00D17C4C" w14:paraId="4EBA872A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E8F9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66E8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  <w:tc>
          <w:tcPr>
            <w:tcW w:w="26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1B2F1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Broj bodova po ciljevima</w:t>
            </w:r>
          </w:p>
        </w:tc>
      </w:tr>
      <w:tr w:rsidR="00D17C4C" w14:paraId="52587713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3843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1.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52A9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 xml:space="preserve">Kvalitet projekta, usklađenost sa ciljevima programa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EDB95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ADA31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15554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354F4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EDB85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5</w:t>
            </w:r>
          </w:p>
        </w:tc>
      </w:tr>
      <w:tr w:rsidR="00D17C4C" w14:paraId="3BB16761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F430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2.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9894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Postignuti rezultati u predloženim projektnim aktivnostima, u prethodnom periodu i ažurnost i  kvalitet izvještavanja za već podržane projekte iz budžeta ministarstva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A0FA7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741C0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2328C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A0FDC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F2D16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5</w:t>
            </w:r>
          </w:p>
        </w:tc>
      </w:tr>
      <w:tr w:rsidR="00D17C4C" w14:paraId="552749A9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CB88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3.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EB56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 xml:space="preserve">Broj korisnika, kategorija korisnika usluga i  nivo uključenosti korisnika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C0E4C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20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D3B18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0FE7B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15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F8AB3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8E2F2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10</w:t>
            </w:r>
          </w:p>
        </w:tc>
      </w:tr>
      <w:tr w:rsidR="00D17C4C" w14:paraId="1936EDCD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B9E0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4.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AC46" w14:textId="77777777" w:rsidR="00D17C4C" w:rsidRDefault="00D17C4C">
            <w:pPr>
              <w:spacing w:line="252" w:lineRule="auto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Doprinos projekta razvoju  vaninstitucionalnih usluga i njihovom približavanju lokalnoj zajednici (korisnicima)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1FAD5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08B88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20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5A530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15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F18E5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20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B1023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0 – 20</w:t>
            </w:r>
          </w:p>
        </w:tc>
      </w:tr>
      <w:tr w:rsidR="00D17C4C" w14:paraId="218E8EE4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9834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5.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EEB7" w14:textId="77777777" w:rsidR="00D17C4C" w:rsidRDefault="00D17C4C">
            <w:pPr>
              <w:spacing w:line="252" w:lineRule="auto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Uticaj predviđenih aktivnosti na ciljne grupe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6A4A4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71054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A3DF5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7B8DE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C06D2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</w:tr>
      <w:tr w:rsidR="00D17C4C" w14:paraId="649960F7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8A2E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lastRenderedPageBreak/>
              <w:t>6.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003E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 xml:space="preserve">Kvalitet i struktura budžeta projekta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C3C58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3AC26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FFFC8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45B32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B6834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</w:tr>
      <w:tr w:rsidR="00D17C4C" w14:paraId="274FFFC6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C7E8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7.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09DD" w14:textId="77777777" w:rsidR="00D17C4C" w:rsidRDefault="00D17C4C">
            <w:pPr>
              <w:spacing w:line="252" w:lineRule="auto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Sufinansiranje iz drugih izvora ili sufinansiranje od strane implementarora projekta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2436C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13B6E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1E9D1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3BE42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6C0D2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10</w:t>
            </w:r>
          </w:p>
        </w:tc>
      </w:tr>
      <w:tr w:rsidR="00D17C4C" w14:paraId="3C35FE19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0D58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8.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CE92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Uspostavljenost partnerskih odnosa sa drugim sektorima u realizaciji projekta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19C90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04550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FD16B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20163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C1532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lang w:val="hr-BA" w:eastAsia="en-US"/>
              </w:rPr>
            </w:pPr>
            <w:r>
              <w:rPr>
                <w:rFonts w:ascii="Times New Roman" w:hAnsi="Times New Roman" w:cs="Times New Roman"/>
                <w:lang w:val="hr-BA" w:eastAsia="en-US"/>
              </w:rPr>
              <w:t>0 – 5</w:t>
            </w:r>
          </w:p>
        </w:tc>
      </w:tr>
      <w:tr w:rsidR="00D17C4C" w14:paraId="7AF01479" w14:textId="77777777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E43D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EC3A" w14:textId="77777777" w:rsidR="00D17C4C" w:rsidRDefault="00D17C4C">
            <w:pPr>
              <w:spacing w:line="252" w:lineRule="auto"/>
              <w:jc w:val="both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Ukupan broj bodova</w:t>
            </w:r>
          </w:p>
        </w:tc>
        <w:tc>
          <w:tcPr>
            <w:tcW w:w="26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C2E7B" w14:textId="77777777" w:rsidR="00D17C4C" w:rsidRDefault="00D17C4C">
            <w:pPr>
              <w:spacing w:line="252" w:lineRule="auto"/>
              <w:jc w:val="center"/>
              <w:rPr>
                <w:rFonts w:ascii="Times New Roman" w:hAnsi="Times New Roman" w:cs="Times New Roman"/>
                <w:color w:val="auto"/>
                <w:lang w:val="hr-BA"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hr-BA" w:eastAsia="en-US"/>
              </w:rPr>
              <w:t>Ukupno po 65 bodova</w:t>
            </w:r>
          </w:p>
        </w:tc>
      </w:tr>
    </w:tbl>
    <w:p w14:paraId="674E6675" w14:textId="77777777" w:rsidR="00D17C4C" w:rsidRDefault="00D17C4C" w:rsidP="00D17C4C">
      <w:pPr>
        <w:tabs>
          <w:tab w:val="left" w:pos="3345"/>
        </w:tabs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45BD8420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12828F80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Organizacije i udruženja koja ne ostvare minimum od 15 bodova neće biti finansirana/sufinansirana sredstvima iz ovog Programa.</w:t>
      </w:r>
    </w:p>
    <w:p w14:paraId="35C7ED1B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51DFE2D9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150E87F6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                                                                          IV</w:t>
      </w:r>
    </w:p>
    <w:p w14:paraId="698295C6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51B8A99D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Prilikom procjene neće se razmatrati projekti koji: </w:t>
      </w:r>
    </w:p>
    <w:p w14:paraId="344FE053" w14:textId="77777777" w:rsidR="00D17C4C" w:rsidRDefault="00D17C4C" w:rsidP="00D17C4C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su usmjereni ka vjerskim ciljevima i aktivnostima,</w:t>
      </w:r>
    </w:p>
    <w:p w14:paraId="775DA664" w14:textId="77777777" w:rsidR="00D17C4C" w:rsidRDefault="00D17C4C" w:rsidP="00D17C4C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se isključivo baziraju na investicijskim ulaganjima, izgradnji i adaptaciji objekata, kupovini opreme,</w:t>
      </w:r>
    </w:p>
    <w:p w14:paraId="5EC54D27" w14:textId="77777777" w:rsidR="00D17C4C" w:rsidRDefault="00D17C4C" w:rsidP="00D17C4C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imaju administrativne troškove veće od 20% traženih sredstava iz Budžeta TK za 2026. godinu,</w:t>
      </w:r>
    </w:p>
    <w:p w14:paraId="522DB0B3" w14:textId="77777777" w:rsidR="00D17C4C" w:rsidRDefault="00D17C4C" w:rsidP="00D17C4C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čije su projektne aktivnosti planirane prije 01.01.2026. godine i čije je trajanje planirano duže od 31.12.2026. godine,</w:t>
      </w:r>
    </w:p>
    <w:p w14:paraId="3DE0B392" w14:textId="77777777" w:rsidR="00D17C4C" w:rsidRDefault="00D17C4C" w:rsidP="00D17C4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auto"/>
          <w:lang w:val="en-GB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su podneseni od organizacija i udruženja koji nisu dostavili izvještaj o namjenskom utrošku sredstava odobrenih u 2025. godini u odobrenom roku,</w:t>
      </w:r>
    </w:p>
    <w:p w14:paraId="7055BB22" w14:textId="77777777" w:rsidR="00D17C4C" w:rsidRDefault="00D17C4C" w:rsidP="00D17C4C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su podneseni od organizacija i udruženja koji nisu dostavili izvještaj o namjenskom utrošku sredstava odobrenih iz budžeta Ministarstva za rad, socijalnu politiku i povratak TK u prethodnim godinama,</w:t>
      </w:r>
    </w:p>
    <w:p w14:paraId="23F8F20D" w14:textId="77777777" w:rsidR="00D17C4C" w:rsidRDefault="00D17C4C" w:rsidP="00D17C4C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su podneseni od organizacija i udruženja čija se osnovna registrovana djelatnost odnosi na djelatnost sporta (izuzev organizacija i udruženja čija se registrovana djelatnost odnosi i na sportske aktivnosti za lica sa posebnim potrebama), kulture, ekologije, zdravstva, privrede i drugih oblasti koje ne spadaju u djelatnost socijalne zaštite,</w:t>
      </w:r>
    </w:p>
    <w:p w14:paraId="206AA960" w14:textId="77777777" w:rsidR="00D17C4C" w:rsidRDefault="00D17C4C" w:rsidP="00D17C4C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su već podržani sa budžetske pozicije</w:t>
      </w:r>
      <w:r>
        <w:rPr>
          <w:rFonts w:ascii="Times New Roman" w:hAnsi="Times New Roman" w:cs="Times New Roman"/>
          <w:bCs/>
          <w:lang w:eastAsia="en-US"/>
        </w:rPr>
        <w:t>“</w:t>
      </w:r>
      <w:r>
        <w:rPr>
          <w:rFonts w:ascii="Times New Roman" w:hAnsi="Times New Roman" w:cs="Times New Roman"/>
          <w:lang w:val="hr-BA" w:eastAsia="en-US"/>
        </w:rPr>
        <w:t xml:space="preserve"> 23020009“ - </w:t>
      </w:r>
      <w:r>
        <w:rPr>
          <w:rFonts w:ascii="Times New Roman" w:hAnsi="Times New Roman" w:cs="Times New Roman"/>
          <w:bCs/>
          <w:lang w:eastAsia="en-US"/>
        </w:rPr>
        <w:t>podrška smanjenju socijalne isključenosti i razvoja socijalnih usluga“</w:t>
      </w:r>
      <w:r>
        <w:rPr>
          <w:rFonts w:ascii="Times New Roman" w:hAnsi="Times New Roman" w:cs="Times New Roman"/>
          <w:lang w:val="hr-BA" w:eastAsia="en-US"/>
        </w:rPr>
        <w:t xml:space="preserve"> u 2026. godini,</w:t>
      </w:r>
    </w:p>
    <w:p w14:paraId="36F09ABF" w14:textId="77777777" w:rsidR="00D17C4C" w:rsidRDefault="00D17C4C" w:rsidP="00D17C4C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projekti koji nisu dostavljeni u skladu sa propisanim obrascima od strane Ministarstva,</w:t>
      </w:r>
    </w:p>
    <w:p w14:paraId="476D672E" w14:textId="77777777" w:rsidR="00D17C4C" w:rsidRDefault="00D17C4C" w:rsidP="00D17C4C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lang w:val="hr-BA" w:eastAsia="en-US"/>
        </w:rPr>
      </w:pPr>
      <w:proofErr w:type="spellStart"/>
      <w:r>
        <w:rPr>
          <w:rFonts w:ascii="Times New Roman" w:hAnsi="Times New Roman" w:cs="Times New Roman"/>
          <w:lang w:val="en-GB" w:eastAsia="en-US"/>
        </w:rPr>
        <w:t>čiji</w:t>
      </w:r>
      <w:proofErr w:type="spellEnd"/>
      <w:r>
        <w:rPr>
          <w:rFonts w:ascii="Times New Roman" w:hAnsi="Times New Roman" w:cs="Times New Roman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lang w:val="en-GB" w:eastAsia="en-US"/>
        </w:rPr>
        <w:t>projekti</w:t>
      </w:r>
      <w:proofErr w:type="spellEnd"/>
      <w:r>
        <w:rPr>
          <w:rFonts w:ascii="Times New Roman" w:hAnsi="Times New Roman" w:cs="Times New Roman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lang w:val="en-GB" w:eastAsia="en-US"/>
        </w:rPr>
        <w:t>nisu</w:t>
      </w:r>
      <w:proofErr w:type="spellEnd"/>
      <w:r>
        <w:rPr>
          <w:rFonts w:ascii="Times New Roman" w:hAnsi="Times New Roman" w:cs="Times New Roman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lang w:val="en-GB" w:eastAsia="en-US"/>
        </w:rPr>
        <w:t>namjenjeni</w:t>
      </w:r>
      <w:proofErr w:type="spellEnd"/>
      <w:r>
        <w:rPr>
          <w:rFonts w:ascii="Times New Roman" w:hAnsi="Times New Roman" w:cs="Times New Roman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lang w:val="en-GB" w:eastAsia="en-US"/>
        </w:rPr>
        <w:t>građanima</w:t>
      </w:r>
      <w:proofErr w:type="spellEnd"/>
      <w:r>
        <w:rPr>
          <w:rFonts w:ascii="Times New Roman" w:hAnsi="Times New Roman" w:cs="Times New Roman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lang w:val="en-GB" w:eastAsia="en-US"/>
        </w:rPr>
        <w:t>Tuzlanskog</w:t>
      </w:r>
      <w:proofErr w:type="spellEnd"/>
      <w:r>
        <w:rPr>
          <w:rFonts w:ascii="Times New Roman" w:hAnsi="Times New Roman" w:cs="Times New Roman"/>
          <w:lang w:val="en-GB" w:eastAsia="en-US"/>
        </w:rPr>
        <w:t xml:space="preserve"> </w:t>
      </w:r>
      <w:proofErr w:type="spellStart"/>
      <w:r>
        <w:rPr>
          <w:rFonts w:ascii="Times New Roman" w:hAnsi="Times New Roman" w:cs="Times New Roman"/>
          <w:lang w:val="en-GB" w:eastAsia="en-US"/>
        </w:rPr>
        <w:t>kantona</w:t>
      </w:r>
      <w:proofErr w:type="spellEnd"/>
      <w:r>
        <w:rPr>
          <w:rFonts w:ascii="Times New Roman" w:hAnsi="Times New Roman" w:cs="Times New Roman"/>
          <w:lang w:val="en-GB" w:eastAsia="en-US"/>
        </w:rPr>
        <w:t>.</w:t>
      </w:r>
    </w:p>
    <w:p w14:paraId="4B1C28BA" w14:textId="77777777" w:rsidR="00D17C4C" w:rsidRDefault="00D17C4C" w:rsidP="00D17C4C">
      <w:pPr>
        <w:shd w:val="clear" w:color="auto" w:fill="FFFFFF"/>
        <w:ind w:left="720"/>
        <w:jc w:val="both"/>
        <w:rPr>
          <w:rFonts w:ascii="Times New Roman" w:hAnsi="Times New Roman" w:cs="Times New Roman"/>
          <w:lang w:val="hr-BA" w:eastAsia="en-US"/>
        </w:rPr>
      </w:pPr>
    </w:p>
    <w:p w14:paraId="12533952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1DCAB8C9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Ministarstvo za rad, socijalnu politiku i povratak TK neće razmatrati zahtjeve za sufinansiranje programa rada podnosioca zahtjeva, već isključivo konkretne projekte.</w:t>
      </w:r>
    </w:p>
    <w:p w14:paraId="051FC121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2E40B4C1" w14:textId="77777777" w:rsidR="00D17C4C" w:rsidRDefault="00D17C4C" w:rsidP="00D17C4C">
      <w:pPr>
        <w:keepNext/>
        <w:jc w:val="center"/>
        <w:outlineLvl w:val="0"/>
        <w:rPr>
          <w:rFonts w:ascii="Times New Roman" w:hAnsi="Times New Roman" w:cs="Times New Roman"/>
          <w:bCs/>
          <w:color w:val="auto"/>
          <w:lang w:val="hr-BA" w:eastAsia="en-US"/>
        </w:rPr>
      </w:pPr>
      <w:r>
        <w:rPr>
          <w:rFonts w:ascii="Times New Roman" w:hAnsi="Times New Roman" w:cs="Times New Roman"/>
          <w:bCs/>
          <w:color w:val="auto"/>
          <w:lang w:val="hr-BA" w:eastAsia="en-US"/>
        </w:rPr>
        <w:t>V</w:t>
      </w:r>
    </w:p>
    <w:p w14:paraId="03631893" w14:textId="77777777" w:rsidR="00D17C4C" w:rsidRDefault="00D17C4C" w:rsidP="00D17C4C">
      <w:pPr>
        <w:rPr>
          <w:rFonts w:ascii="Times New Roman" w:hAnsi="Times New Roman" w:cs="Times New Roman"/>
          <w:color w:val="auto"/>
          <w:lang w:val="hr-BA" w:eastAsia="en-US"/>
        </w:rPr>
      </w:pPr>
    </w:p>
    <w:p w14:paraId="0BB26552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Objava ovog Programa na web stranici Ministarstva </w:t>
      </w:r>
      <w:hyperlink r:id="rId6" w:history="1">
        <w:r>
          <w:rPr>
            <w:rStyle w:val="Hiperveza"/>
            <w:rFonts w:ascii="Times New Roman" w:hAnsi="Times New Roman" w:cs="Times New Roman"/>
            <w:color w:val="0000FF"/>
            <w:lang w:val="hr-BA" w:eastAsia="en-US"/>
          </w:rPr>
          <w:t>www.mrspptk.gov.ba</w:t>
        </w:r>
      </w:hyperlink>
      <w:r>
        <w:rPr>
          <w:rFonts w:ascii="Times New Roman" w:hAnsi="Times New Roman" w:cs="Times New Roman"/>
          <w:color w:val="auto"/>
          <w:lang w:val="hr-BA" w:eastAsia="en-US"/>
        </w:rPr>
        <w:t xml:space="preserve"> ostavlja mogućnost potencijalnim korisnicima za podnošenje zahtjeva sa projektom za raspodjelu sredstava u roku od 15 dana od dana objavljivanja  na web stranici Ministarstva</w:t>
      </w:r>
      <w:r>
        <w:rPr>
          <w:rFonts w:ascii="Times New Roman" w:hAnsi="Times New Roman" w:cs="Times New Roman"/>
          <w:color w:val="FF0000"/>
          <w:lang w:val="hr-BA" w:eastAsia="en-US"/>
        </w:rPr>
        <w:t xml:space="preserve"> </w:t>
      </w:r>
      <w:hyperlink r:id="rId7" w:history="1">
        <w:r>
          <w:rPr>
            <w:rStyle w:val="Hiperveza"/>
            <w:rFonts w:ascii="Times New Roman" w:hAnsi="Times New Roman" w:cs="Times New Roman"/>
            <w:color w:val="0000FF"/>
            <w:lang w:val="hr-BA" w:eastAsia="en-US"/>
          </w:rPr>
          <w:t>www.mrspptk.gov.ba</w:t>
        </w:r>
      </w:hyperlink>
      <w:r>
        <w:rPr>
          <w:rFonts w:ascii="Times New Roman" w:hAnsi="Times New Roman" w:cs="Times New Roman"/>
          <w:color w:val="FF0000"/>
          <w:lang w:val="hr-BA" w:eastAsia="en-US"/>
        </w:rPr>
        <w:t xml:space="preserve"> </w:t>
      </w:r>
      <w:r>
        <w:rPr>
          <w:rFonts w:ascii="Times New Roman" w:hAnsi="Times New Roman" w:cs="Times New Roman"/>
          <w:color w:val="auto"/>
          <w:lang w:val="hr-BA" w:eastAsia="en-US"/>
        </w:rPr>
        <w:t>, a što se smatra javnim pozivom.</w:t>
      </w:r>
    </w:p>
    <w:p w14:paraId="55E5AAD1" w14:textId="77777777" w:rsidR="00D17C4C" w:rsidRDefault="00D17C4C" w:rsidP="00D17C4C">
      <w:pPr>
        <w:rPr>
          <w:rFonts w:ascii="Times New Roman" w:hAnsi="Times New Roman" w:cs="Times New Roman"/>
          <w:lang w:val="hr-BA" w:eastAsia="en-US"/>
        </w:rPr>
      </w:pPr>
    </w:p>
    <w:p w14:paraId="66D6FE52" w14:textId="77777777" w:rsidR="00D17C4C" w:rsidRDefault="00D17C4C" w:rsidP="00D17C4C">
      <w:pPr>
        <w:jc w:val="center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lastRenderedPageBreak/>
        <w:t xml:space="preserve"> VI  </w:t>
      </w:r>
    </w:p>
    <w:p w14:paraId="60E78D4B" w14:textId="77777777" w:rsidR="00D17C4C" w:rsidRDefault="00D17C4C" w:rsidP="00D17C4C">
      <w:pPr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Podnosilac projektnog prijedloga za dodjelu sredstava obavezan je dostaviti sljedeću dokumentaciju:</w:t>
      </w:r>
    </w:p>
    <w:p w14:paraId="2E24599A" w14:textId="77777777" w:rsidR="00D17C4C" w:rsidRDefault="00D17C4C" w:rsidP="00D17C4C">
      <w:pPr>
        <w:jc w:val="both"/>
        <w:rPr>
          <w:rFonts w:ascii="Times New Roman" w:hAnsi="Times New Roman" w:cs="Times New Roman"/>
          <w:lang w:val="hr-BA" w:eastAsia="en-US"/>
        </w:rPr>
      </w:pPr>
    </w:p>
    <w:p w14:paraId="438E3D3D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Prijavni obrazac – obrazac 1,</w:t>
      </w:r>
    </w:p>
    <w:p w14:paraId="42D03443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Obrazac projektnog prijedloga - obrazac 2,</w:t>
      </w:r>
    </w:p>
    <w:p w14:paraId="4871C5C8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 xml:space="preserve">Budžet projekta – obrazac 3 , </w:t>
      </w:r>
    </w:p>
    <w:p w14:paraId="4FBD6285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 xml:space="preserve">Rješenje o upisu u registar kod Ministarstva pravosuđa i uprave TK-a ili drugog nadležnog organa  FBiH ili BiH (kopija),  </w:t>
      </w:r>
    </w:p>
    <w:p w14:paraId="2F79727E" w14:textId="77777777" w:rsidR="00D17C4C" w:rsidRDefault="00D17C4C" w:rsidP="00D17C4C">
      <w:pPr>
        <w:numPr>
          <w:ilvl w:val="0"/>
          <w:numId w:val="3"/>
        </w:numPr>
        <w:spacing w:line="254" w:lineRule="auto"/>
        <w:contextualSpacing/>
        <w:jc w:val="both"/>
        <w:rPr>
          <w:rFonts w:ascii="Times New Roman" w:eastAsia="Calibri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Uvjerenje o poreznoj registraciji (kopija),</w:t>
      </w:r>
    </w:p>
    <w:p w14:paraId="612A0E02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Spesimen potpisa (kopija),</w:t>
      </w:r>
    </w:p>
    <w:p w14:paraId="25685272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Bilans stanja za 2025.godinu ovjeren od nadležnog organa ( kopija),</w:t>
      </w:r>
    </w:p>
    <w:p w14:paraId="2E2FB296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Izvještaj o prihodima i rashodima ovjeren od nadležnog organa za 2025. godinu (kopija),</w:t>
      </w:r>
    </w:p>
    <w:p w14:paraId="76E2EFCB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Izjava odgovorne osobe pravnog lica o transparentnom utrošku sredstava,</w:t>
      </w:r>
    </w:p>
    <w:p w14:paraId="7B162DA3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Sporazum o partnerstvu ako se radi o partnerskom projektu ovjeren od svih partnera </w:t>
      </w:r>
      <w:r>
        <w:rPr>
          <w:rFonts w:ascii="Times New Roman" w:hAnsi="Times New Roman" w:cs="Times New Roman"/>
          <w:lang w:val="hr-BA" w:eastAsia="en-US"/>
        </w:rPr>
        <w:t xml:space="preserve">(kopija), </w:t>
      </w:r>
    </w:p>
    <w:p w14:paraId="1CE1BFD3" w14:textId="77777777" w:rsidR="00D17C4C" w:rsidRDefault="00D17C4C" w:rsidP="00D17C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Dokaz o sufinansiranju iz drugih izvora ili sufinansiranju od strane implementatora projekta (ukoliko je obezbjeđeno sufinansiranje).</w:t>
      </w:r>
    </w:p>
    <w:p w14:paraId="1B88D400" w14:textId="77777777" w:rsidR="00D17C4C" w:rsidRDefault="00D17C4C" w:rsidP="00D17C4C">
      <w:pPr>
        <w:jc w:val="both"/>
        <w:rPr>
          <w:rFonts w:ascii="Times New Roman" w:hAnsi="Times New Roman" w:cs="Times New Roman"/>
          <w:lang w:val="hr-BA" w:eastAsia="en-US"/>
        </w:rPr>
      </w:pPr>
    </w:p>
    <w:p w14:paraId="6B39CF60" w14:textId="77777777" w:rsidR="00D17C4C" w:rsidRDefault="00D17C4C" w:rsidP="00D17C4C">
      <w:pPr>
        <w:rPr>
          <w:rFonts w:ascii="Times New Roman" w:hAnsi="Times New Roman" w:cs="Times New Roman"/>
          <w:lang w:val="hr-BA" w:eastAsia="en-US"/>
        </w:rPr>
      </w:pPr>
    </w:p>
    <w:p w14:paraId="23D58BBD" w14:textId="77777777" w:rsidR="00D17C4C" w:rsidRDefault="00D17C4C" w:rsidP="00D17C4C">
      <w:pPr>
        <w:jc w:val="both"/>
        <w:rPr>
          <w:rFonts w:ascii="Times New Roman" w:hAnsi="Times New Roman" w:cs="Times New Roman"/>
          <w:bCs/>
          <w:lang w:val="hr-BA" w:eastAsia="en-US"/>
        </w:rPr>
      </w:pPr>
      <w:r>
        <w:rPr>
          <w:rFonts w:ascii="Times New Roman" w:hAnsi="Times New Roman" w:cs="Times New Roman"/>
          <w:bCs/>
          <w:caps/>
          <w:lang w:val="hr-BA" w:eastAsia="en-US"/>
        </w:rPr>
        <w:t>P</w:t>
      </w:r>
      <w:r>
        <w:rPr>
          <w:rFonts w:ascii="Times New Roman" w:hAnsi="Times New Roman" w:cs="Times New Roman"/>
          <w:bCs/>
          <w:lang w:val="hr-BA" w:eastAsia="en-US"/>
        </w:rPr>
        <w:t>odnosioci projektnog prijedloga su obavezni pridžavati se Smjernica za pripremanje budžeta,   koje su sastavni dio ovog Programa.</w:t>
      </w:r>
    </w:p>
    <w:p w14:paraId="525EA0DC" w14:textId="77777777" w:rsidR="00D17C4C" w:rsidRDefault="00D17C4C" w:rsidP="00D17C4C">
      <w:pPr>
        <w:jc w:val="both"/>
        <w:rPr>
          <w:rFonts w:ascii="Times New Roman" w:hAnsi="Times New Roman" w:cs="Times New Roman"/>
          <w:lang w:val="hr-BA" w:eastAsia="en-US"/>
        </w:rPr>
      </w:pPr>
    </w:p>
    <w:p w14:paraId="134DF18A" w14:textId="77777777" w:rsidR="00D17C4C" w:rsidRDefault="00D17C4C" w:rsidP="00D17C4C">
      <w:pPr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 xml:space="preserve">U budžetu projekta mora biti jasno naznačeno za koje se aktivnosti traže sredstva od Ministarstva, a za koje su aktivnosti osigurana sredstva iz drugih izvora, ukoliko postoje. </w:t>
      </w:r>
    </w:p>
    <w:p w14:paraId="3037F7E7" w14:textId="77777777" w:rsidR="00D17C4C" w:rsidRDefault="00D17C4C" w:rsidP="00D17C4C">
      <w:pPr>
        <w:jc w:val="both"/>
        <w:rPr>
          <w:rFonts w:ascii="Times New Roman" w:hAnsi="Times New Roman" w:cs="Times New Roman"/>
          <w:lang w:val="hr-BA" w:eastAsia="en-US"/>
        </w:rPr>
      </w:pPr>
    </w:p>
    <w:p w14:paraId="6E2E184E" w14:textId="77777777" w:rsidR="00D17C4C" w:rsidRDefault="00D17C4C" w:rsidP="00D17C4C">
      <w:pPr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 xml:space="preserve">Svi obrasci moraju biti popunjeni, potpisani i ovjereni od strane odgovorne osobe podnosioca prijave. </w:t>
      </w:r>
    </w:p>
    <w:p w14:paraId="79675BCC" w14:textId="77777777" w:rsidR="00D17C4C" w:rsidRDefault="00D17C4C" w:rsidP="00D17C4C">
      <w:pPr>
        <w:jc w:val="both"/>
        <w:rPr>
          <w:rFonts w:ascii="Times New Roman" w:hAnsi="Times New Roman" w:cs="Times New Roman"/>
          <w:lang w:val="hr-BA" w:eastAsia="en-US"/>
        </w:rPr>
      </w:pPr>
    </w:p>
    <w:p w14:paraId="0D399DDE" w14:textId="77777777" w:rsidR="00D17C4C" w:rsidRDefault="00D17C4C" w:rsidP="00D17C4C">
      <w:pPr>
        <w:jc w:val="both"/>
        <w:rPr>
          <w:rFonts w:ascii="Times New Roman" w:hAnsi="Times New Roman" w:cs="Times New Roman"/>
          <w:color w:val="FF0000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 xml:space="preserve">Obrasci za prijavu čine sastavni dio ovog Programa i mogu se  preuzeti sa </w:t>
      </w:r>
      <w:r>
        <w:rPr>
          <w:rFonts w:ascii="Times New Roman" w:hAnsi="Times New Roman" w:cs="Times New Roman"/>
          <w:color w:val="auto"/>
          <w:lang w:val="hr-BA" w:eastAsia="en-US"/>
        </w:rPr>
        <w:t xml:space="preserve">web stranice Ministarstva </w:t>
      </w:r>
      <w:hyperlink r:id="rId8" w:history="1">
        <w:r>
          <w:rPr>
            <w:rStyle w:val="Hiperveza"/>
            <w:rFonts w:ascii="Times New Roman" w:hAnsi="Times New Roman" w:cs="Times New Roman"/>
            <w:color w:val="0000FF"/>
            <w:lang w:val="hr-BA" w:eastAsia="en-US"/>
          </w:rPr>
          <w:t>www.mrspptk.gov.ba</w:t>
        </w:r>
      </w:hyperlink>
      <w:r>
        <w:rPr>
          <w:rFonts w:ascii="Times New Roman" w:hAnsi="Times New Roman" w:cs="Times New Roman"/>
          <w:color w:val="auto"/>
          <w:lang w:val="hr-BA" w:eastAsia="en-US"/>
        </w:rPr>
        <w:t xml:space="preserve"> . </w:t>
      </w:r>
    </w:p>
    <w:p w14:paraId="766A11C1" w14:textId="77777777" w:rsidR="00D17C4C" w:rsidRDefault="00D17C4C" w:rsidP="00D17C4C">
      <w:pPr>
        <w:rPr>
          <w:rFonts w:ascii="Times New Roman" w:hAnsi="Times New Roman" w:cs="Times New Roman"/>
          <w:lang w:val="hr-BA" w:eastAsia="en-US"/>
        </w:rPr>
      </w:pPr>
    </w:p>
    <w:p w14:paraId="5E381D96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                                                                           VII </w:t>
      </w:r>
    </w:p>
    <w:p w14:paraId="29D3E2BA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40ADCE3D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Popunjeni prijavni obrazac sa svim prilozima podnosi se u zapečaćenoj  koverti, a predaje putem pošte ili na pisarnicu Ureda za zajedničke poslove kantonalnih organa na adresu:</w:t>
      </w:r>
    </w:p>
    <w:p w14:paraId="66CDDDBD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02C084DD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Tuzlanski kanton</w:t>
      </w:r>
    </w:p>
    <w:p w14:paraId="2EB5C6A9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Ministarstvo za rad, socijalnu politiku i povratak </w:t>
      </w:r>
    </w:p>
    <w:p w14:paraId="0E9319F7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Ured za zajedničke poslove kantonalnih organa TK</w:t>
      </w:r>
    </w:p>
    <w:p w14:paraId="3C57D7AC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Fra Grge Martića 8, Tuzla 75000</w:t>
      </w:r>
    </w:p>
    <w:p w14:paraId="10F9AB24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55274CC2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sa naznakom </w:t>
      </w:r>
    </w:p>
    <w:p w14:paraId="5FB88FA8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466C106C" w14:textId="77777777" w:rsidR="00D17C4C" w:rsidRDefault="00D17C4C" w:rsidP="00D17C4C">
      <w:pPr>
        <w:jc w:val="both"/>
        <w:rPr>
          <w:rFonts w:ascii="Times New Roman" w:hAnsi="Times New Roman" w:cs="Times New Roman"/>
          <w:b/>
          <w:bCs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“Prijava na javni poziv za raspodjelu sredstava </w:t>
      </w:r>
      <w:r>
        <w:rPr>
          <w:rFonts w:ascii="Times New Roman" w:hAnsi="Times New Roman" w:cs="Times New Roman"/>
          <w:color w:val="auto"/>
          <w:lang w:eastAsia="en-US"/>
        </w:rPr>
        <w:t>za podršku smanjenja socijalne isključenosti i razvoja socijalnih usluga za 2026. godinu“</w:t>
      </w:r>
      <w:r>
        <w:rPr>
          <w:rFonts w:ascii="Times New Roman" w:hAnsi="Times New Roman" w:cs="Times New Roman"/>
          <w:b/>
          <w:bCs/>
          <w:color w:val="auto"/>
          <w:lang w:val="hr-BA" w:eastAsia="en-US"/>
        </w:rPr>
        <w:t xml:space="preserve"> </w:t>
      </w:r>
      <w:r>
        <w:rPr>
          <w:rFonts w:ascii="Times New Roman" w:hAnsi="Times New Roman" w:cs="Times New Roman"/>
          <w:color w:val="auto"/>
          <w:lang w:val="hr-BA" w:eastAsia="en-US"/>
        </w:rPr>
        <w:t>– ne otvarati”.</w:t>
      </w:r>
    </w:p>
    <w:p w14:paraId="3ABEEAC2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4940E10E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                                                                            VIII</w:t>
      </w:r>
    </w:p>
    <w:p w14:paraId="5906A1FD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6E8140D2" w14:textId="77777777" w:rsidR="00D17C4C" w:rsidRDefault="00D17C4C" w:rsidP="00D17C4C">
      <w:pPr>
        <w:jc w:val="both"/>
        <w:rPr>
          <w:rFonts w:ascii="Times New Roman" w:hAnsi="Times New Roman" w:cs="Times New Roman"/>
          <w:b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lastRenderedPageBreak/>
        <w:t>Organizacije i udruženja su obavezni da izvještaj o utrošku sredstava sa potrebnim dokazima (kopije računa, izvodi iz banke i dr.) uz narativni izvještaj, dostave Ministarstvu za rad, socijalnu politiku i povratak TK-a,  najkasnije do 15.01.2027. godine.</w:t>
      </w:r>
    </w:p>
    <w:p w14:paraId="6FA0B74A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</w:p>
    <w:p w14:paraId="03A48D98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Izvještaj iz stava 1. ove tačke dostavlja se u skladu sa propisanim obrascem (obrazac 4) koji se može preuzeti sa web stranice Ministarstva </w:t>
      </w:r>
      <w:hyperlink r:id="rId9" w:history="1">
        <w:r>
          <w:rPr>
            <w:rStyle w:val="Hiperveza"/>
            <w:rFonts w:ascii="Times New Roman" w:hAnsi="Times New Roman" w:cs="Times New Roman"/>
            <w:color w:val="0000FF"/>
            <w:lang w:val="hr-BA" w:eastAsia="en-US"/>
          </w:rPr>
          <w:t>www.mrspptk.gov.ba</w:t>
        </w:r>
      </w:hyperlink>
      <w:r>
        <w:rPr>
          <w:rFonts w:ascii="Times New Roman" w:hAnsi="Times New Roman" w:cs="Times New Roman"/>
          <w:color w:val="auto"/>
          <w:lang w:val="hr-BA" w:eastAsia="en-US"/>
        </w:rPr>
        <w:t xml:space="preserve"> . Obrazac narativnog i finansijskog izvještaja je sastavni dio Programa.</w:t>
      </w:r>
    </w:p>
    <w:p w14:paraId="5AD8AF7F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bs-Latn-BA" w:eastAsia="en-US"/>
        </w:rPr>
      </w:pPr>
      <w:r>
        <w:rPr>
          <w:rFonts w:ascii="Times New Roman" w:hAnsi="Times New Roman" w:cs="Times New Roman"/>
          <w:bCs/>
          <w:color w:val="auto"/>
          <w:lang w:val="bs-Latn-BA" w:eastAsia="en-US"/>
        </w:rPr>
        <w:t>Ukoliko udruženja i organizacije izvještaj o utrošku sredstava ne dostave na propisan način i u predviđenom roku navedenom u Odluci o odobravanju sredstava, prijave istih za podršku iz budžeta Ministarstva u narednoj godini neće biti razmatrane.</w:t>
      </w:r>
    </w:p>
    <w:p w14:paraId="45D18C94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130AE3C2" w14:textId="77777777" w:rsidR="00D17C4C" w:rsidRDefault="00D17C4C" w:rsidP="00D17C4C">
      <w:pPr>
        <w:jc w:val="both"/>
        <w:rPr>
          <w:rFonts w:ascii="Times New Roman" w:hAnsi="Times New Roman" w:cs="Times New Roman"/>
          <w:bCs/>
          <w:color w:val="auto"/>
          <w:lang w:val="bs-Latn-BA" w:eastAsia="en-US"/>
        </w:rPr>
      </w:pPr>
      <w:r>
        <w:rPr>
          <w:rFonts w:ascii="Times New Roman" w:hAnsi="Times New Roman" w:cs="Times New Roman"/>
          <w:bCs/>
          <w:color w:val="auto"/>
          <w:lang w:val="bs-Latn-BA" w:eastAsia="en-US"/>
        </w:rPr>
        <w:t>Plaćanja se obavljaju žiralno uz obaveznu dostavu računa i dokaza o žiralnoj uplati sredstava. Eventualna gotovinska plaćanja dozvoljena su samo u izuzetnim slučajevima i to u ukupnom iznosu za kompletan projekat do 100,00 KM, kada je to neophodno zbog prirode aktivnosti. U narativnom izvještaju obavezno obrazložiti potrebu gotovinskog plaćanja i priložiti nalog blagajne.</w:t>
      </w:r>
    </w:p>
    <w:p w14:paraId="23D042B9" w14:textId="77777777" w:rsidR="00D17C4C" w:rsidRDefault="00D17C4C" w:rsidP="00D17C4C">
      <w:pPr>
        <w:jc w:val="both"/>
        <w:rPr>
          <w:rFonts w:ascii="Times New Roman" w:hAnsi="Times New Roman" w:cs="Times New Roman"/>
          <w:color w:val="FF0000"/>
          <w:lang w:eastAsia="en-US"/>
        </w:rPr>
      </w:pPr>
    </w:p>
    <w:p w14:paraId="079C845C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>Ukoliko sredstva iz tačke I ovog Programa iz neopravdanih razloga ne budu utrošena do 31.12.2026. godine ili se ista utroše nenamjenski udruženje/organizacija je dužno sredstva vratiti u budžet Tuzlanskog kantona, u protivnom protiv istog će biti pokrenut postupak pred nadležnim sudom.</w:t>
      </w:r>
    </w:p>
    <w:p w14:paraId="1A8E6609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63ED2BFA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                                                                               IX</w:t>
      </w:r>
    </w:p>
    <w:p w14:paraId="1CBD0551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1A81B2B2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Za realizaciju ovog Programa i pojedinačnih Odluka donesenih na osnovu ovog Programa, zadužuje se Ministarstvo za rad, socijalnu politiku i povratak Tuzlanskog kantona i Ministarstvo finansija Tuzlanskog kantona.</w:t>
      </w:r>
    </w:p>
    <w:p w14:paraId="7CB107F7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                                                                        </w:t>
      </w:r>
    </w:p>
    <w:p w14:paraId="2E8B7C80" w14:textId="77777777" w:rsidR="00D17C4C" w:rsidRDefault="00D17C4C" w:rsidP="00D17C4C">
      <w:pPr>
        <w:jc w:val="center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          X</w:t>
      </w:r>
    </w:p>
    <w:p w14:paraId="38341863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4198584B" w14:textId="77777777" w:rsidR="00D17C4C" w:rsidRDefault="00D17C4C" w:rsidP="00D17C4C">
      <w:pPr>
        <w:jc w:val="both"/>
        <w:rPr>
          <w:rFonts w:ascii="Times New Roman" w:hAnsi="Times New Roman" w:cs="Times New Roman"/>
          <w:strike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Program stupa na snagu danom davanja saglasnosti od strane Vlade Tuzlanskog kantona,  primjenjuje se od 01.01.2026. godine i isti će se objaviti na web stranici Ministarstva </w:t>
      </w:r>
      <w:hyperlink r:id="rId10" w:history="1">
        <w:r>
          <w:rPr>
            <w:rStyle w:val="Hiperveza"/>
            <w:rFonts w:ascii="Times New Roman" w:hAnsi="Times New Roman" w:cs="Times New Roman"/>
            <w:color w:val="0000FF"/>
            <w:lang w:val="hr-BA" w:eastAsia="en-US"/>
          </w:rPr>
          <w:t>www.mrspptk.gov.ba</w:t>
        </w:r>
      </w:hyperlink>
      <w:r>
        <w:rPr>
          <w:rFonts w:ascii="Times New Roman" w:hAnsi="Times New Roman" w:cs="Times New Roman"/>
          <w:color w:val="FF0000"/>
          <w:lang w:val="hr-BA" w:eastAsia="en-US"/>
        </w:rPr>
        <w:t xml:space="preserve"> .</w:t>
      </w:r>
    </w:p>
    <w:p w14:paraId="0C801648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                                                                               </w:t>
      </w:r>
    </w:p>
    <w:p w14:paraId="28E38440" w14:textId="77777777" w:rsidR="00D17C4C" w:rsidRDefault="00D17C4C" w:rsidP="00D17C4C">
      <w:pPr>
        <w:autoSpaceDE w:val="0"/>
        <w:autoSpaceDN w:val="0"/>
        <w:adjustRightInd w:val="0"/>
        <w:jc w:val="both"/>
        <w:rPr>
          <w:b/>
          <w:color w:val="auto"/>
          <w:sz w:val="22"/>
          <w:szCs w:val="22"/>
          <w:lang w:val="en-GB" w:eastAsia="en-US"/>
        </w:rPr>
      </w:pPr>
    </w:p>
    <w:p w14:paraId="3B5558A7" w14:textId="77777777" w:rsidR="00D17C4C" w:rsidRDefault="00D17C4C" w:rsidP="00D17C4C">
      <w:pPr>
        <w:jc w:val="both"/>
        <w:rPr>
          <w:rFonts w:ascii="Times New Roman" w:hAnsi="Times New Roman" w:cs="Times New Roman"/>
          <w:bCs/>
          <w:color w:val="auto"/>
          <w:lang w:val="en-GB" w:eastAsia="en-US"/>
        </w:rPr>
      </w:pPr>
    </w:p>
    <w:p w14:paraId="5436CA7F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de-DE" w:eastAsia="en-US"/>
        </w:rPr>
      </w:pPr>
      <w:r>
        <w:rPr>
          <w:rFonts w:ascii="Times New Roman" w:hAnsi="Times New Roman" w:cs="Times New Roman"/>
          <w:color w:val="auto"/>
          <w:lang w:val="de-DE" w:eastAsia="en-US"/>
        </w:rPr>
        <w:t>Dostavljeno:                                                                                  MINISTAR</w:t>
      </w:r>
    </w:p>
    <w:p w14:paraId="55033D15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de-DE" w:eastAsia="en-US"/>
        </w:rPr>
      </w:pPr>
      <w:r>
        <w:rPr>
          <w:rFonts w:ascii="Times New Roman" w:hAnsi="Times New Roman" w:cs="Times New Roman"/>
          <w:color w:val="auto"/>
          <w:lang w:val="de-DE" w:eastAsia="en-US"/>
        </w:rPr>
        <w:t>1 x Vlada TK</w:t>
      </w:r>
    </w:p>
    <w:p w14:paraId="784B2B63" w14:textId="77777777" w:rsidR="00D17C4C" w:rsidRDefault="00D17C4C" w:rsidP="00D17C4C">
      <w:pPr>
        <w:jc w:val="both"/>
        <w:rPr>
          <w:rFonts w:ascii="Times New Roman" w:hAnsi="Times New Roman" w:cs="Times New Roman"/>
          <w:color w:val="auto"/>
          <w:lang w:val="de-DE" w:eastAsia="en-US"/>
        </w:rPr>
      </w:pPr>
      <w:r>
        <w:rPr>
          <w:rFonts w:ascii="Times New Roman" w:hAnsi="Times New Roman" w:cs="Times New Roman"/>
          <w:color w:val="auto"/>
          <w:lang w:val="de-DE" w:eastAsia="en-US"/>
        </w:rPr>
        <w:t>1 x Evidencija                                                                                Fadil Alić</w:t>
      </w:r>
    </w:p>
    <w:p w14:paraId="76CC7038" w14:textId="77777777" w:rsidR="00D17C4C" w:rsidRDefault="00D17C4C" w:rsidP="00D17C4C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auto"/>
          <w:lang w:val="en-GB" w:eastAsia="en-US"/>
        </w:rPr>
      </w:pPr>
      <w:r>
        <w:rPr>
          <w:rFonts w:ascii="Times New Roman" w:hAnsi="Times New Roman" w:cs="Times New Roman"/>
          <w:bCs/>
          <w:color w:val="auto"/>
          <w:lang w:val="en-GB" w:eastAsia="en-US"/>
        </w:rPr>
        <w:t xml:space="preserve">1 x </w:t>
      </w:r>
      <w:proofErr w:type="spellStart"/>
      <w:r>
        <w:rPr>
          <w:rFonts w:ascii="Times New Roman" w:hAnsi="Times New Roman" w:cs="Times New Roman"/>
          <w:bCs/>
          <w:color w:val="auto"/>
          <w:lang w:val="en-GB" w:eastAsia="en-US"/>
        </w:rPr>
        <w:t>Arhiva</w:t>
      </w:r>
      <w:proofErr w:type="spellEnd"/>
    </w:p>
    <w:p w14:paraId="1BFA0CE8" w14:textId="77777777" w:rsidR="00D17C4C" w:rsidRDefault="00D17C4C" w:rsidP="00D17C4C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lang w:val="en-GB" w:eastAsia="en-US"/>
        </w:rPr>
      </w:pPr>
      <w:r>
        <w:rPr>
          <w:rFonts w:ascii="Times New Roman" w:hAnsi="Times New Roman" w:cs="Times New Roman"/>
          <w:color w:val="auto"/>
          <w:lang w:val="en-GB" w:eastAsia="en-US"/>
        </w:rPr>
        <w:t xml:space="preserve">                     </w:t>
      </w:r>
    </w:p>
    <w:p w14:paraId="62CDDDCC" w14:textId="77777777" w:rsidR="00D17C4C" w:rsidRDefault="00D17C4C" w:rsidP="00D17C4C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lang w:val="en-GB" w:eastAsia="en-US"/>
        </w:rPr>
      </w:pPr>
    </w:p>
    <w:p w14:paraId="784CCBDF" w14:textId="77777777" w:rsidR="00597B72" w:rsidRDefault="00597B72"/>
    <w:sectPr w:rsidR="00597B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E15ED"/>
    <w:multiLevelType w:val="hybridMultilevel"/>
    <w:tmpl w:val="AE84A35E"/>
    <w:lvl w:ilvl="0" w:tplc="CA42F5A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0E5F72"/>
    <w:multiLevelType w:val="hybridMultilevel"/>
    <w:tmpl w:val="D78827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4B05E6"/>
    <w:multiLevelType w:val="hybridMultilevel"/>
    <w:tmpl w:val="990CED2A"/>
    <w:lvl w:ilvl="0" w:tplc="CA42F5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74E"/>
    <w:rsid w:val="0035774E"/>
    <w:rsid w:val="005759C4"/>
    <w:rsid w:val="00597B72"/>
    <w:rsid w:val="00B43D12"/>
    <w:rsid w:val="00D17C4C"/>
    <w:rsid w:val="00D4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DC9342-67FB-4388-BF9A-224B0715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C4C"/>
    <w:pPr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57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57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577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57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577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577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577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577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577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57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57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57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5774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5774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5774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5774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5774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5774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57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57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57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57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7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5774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5774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5774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57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5774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5774E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semiHidden/>
    <w:unhideWhenUsed/>
    <w:rsid w:val="00D17C4C"/>
    <w:rPr>
      <w:color w:val="33CC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pptk.gov.b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spptk.gov.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pptk.gov.b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mrspptk.gov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rspptk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MWS3</dc:creator>
  <cp:keywords/>
  <dc:description/>
  <cp:lastModifiedBy>PC 3</cp:lastModifiedBy>
  <cp:revision>2</cp:revision>
  <dcterms:created xsi:type="dcterms:W3CDTF">2026-08-13T08:44:00Z</dcterms:created>
  <dcterms:modified xsi:type="dcterms:W3CDTF">2026-08-13T08:44:00Z</dcterms:modified>
</cp:coreProperties>
</file>