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B1F" w:rsidRPr="00033459" w:rsidRDefault="00942562" w:rsidP="002F596A">
      <w:pPr>
        <w:jc w:val="both"/>
        <w:rPr>
          <w:rFonts w:ascii="Cambria" w:eastAsia="Times New Roman" w:hAnsi="Cambria" w:cs="Times New Roman"/>
          <w:lang w:val="bs-Latn-BA"/>
        </w:rPr>
      </w:pPr>
      <w:bookmarkStart w:id="0" w:name="_GoBack"/>
      <w:bookmarkEnd w:id="0"/>
      <w:r w:rsidRPr="00033459">
        <w:rPr>
          <w:rFonts w:ascii="Cambria" w:eastAsia="Times New Roman" w:hAnsi="Cambria" w:cs="Times New Roman"/>
          <w:highlight w:val="green"/>
          <w:lang w:val="bs-Latn-BA"/>
        </w:rPr>
        <w:t xml:space="preserve"> </w:t>
      </w: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2F596A" w:rsidP="002F596A">
      <w:pPr>
        <w:jc w:val="center"/>
        <w:rPr>
          <w:rFonts w:ascii="Cambria" w:eastAsia="Times New Roman" w:hAnsi="Cambria" w:cs="Times New Roman"/>
          <w:lang w:val="bs-Latn-BA"/>
        </w:rPr>
      </w:pPr>
      <w:r w:rsidRPr="00033459">
        <w:rPr>
          <w:noProof/>
          <w:lang w:val="bs-Latn-BA" w:eastAsia="bs-Latn-BA"/>
        </w:rPr>
        <w:drawing>
          <wp:inline distT="0" distB="0" distL="0" distR="0" wp14:anchorId="63D2B413" wp14:editId="25533A69">
            <wp:extent cx="3394710" cy="211727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tk-szz.jpg"/>
                    <pic:cNvPicPr/>
                  </pic:nvPicPr>
                  <pic:blipFill>
                    <a:blip r:embed="rId9">
                      <a:extLst>
                        <a:ext uri="{28A0092B-C50C-407E-A947-70E740481C1C}">
                          <a14:useLocalDpi xmlns:a14="http://schemas.microsoft.com/office/drawing/2010/main" val="0"/>
                        </a:ext>
                      </a:extLst>
                    </a:blip>
                    <a:stretch>
                      <a:fillRect/>
                    </a:stretch>
                  </pic:blipFill>
                  <pic:spPr>
                    <a:xfrm>
                      <a:off x="0" y="0"/>
                      <a:ext cx="3397142" cy="2118793"/>
                    </a:xfrm>
                    <a:prstGeom prst="rect">
                      <a:avLst/>
                    </a:prstGeom>
                  </pic:spPr>
                </pic:pic>
              </a:graphicData>
            </a:graphic>
          </wp:inline>
        </w:drawing>
      </w: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b/>
          <w:bCs/>
          <w:lang w:val="bs-Latn-BA"/>
        </w:rPr>
      </w:pPr>
    </w:p>
    <w:p w:rsidR="00993B1F" w:rsidRPr="00033459" w:rsidRDefault="00942562" w:rsidP="002F596A">
      <w:pPr>
        <w:jc w:val="center"/>
        <w:rPr>
          <w:rFonts w:ascii="Cambria" w:eastAsia="Times New Roman" w:hAnsi="Cambria" w:cs="Times New Roman"/>
          <w:b/>
          <w:bCs/>
          <w:sz w:val="28"/>
          <w:szCs w:val="28"/>
          <w:lang w:val="bs-Latn-BA"/>
        </w:rPr>
      </w:pPr>
      <w:r w:rsidRPr="00033459">
        <w:rPr>
          <w:rFonts w:ascii="Cambria" w:eastAsia="Times New Roman" w:hAnsi="Cambria" w:cs="Times New Roman"/>
          <w:b/>
          <w:bCs/>
          <w:sz w:val="28"/>
          <w:szCs w:val="28"/>
          <w:lang w:val="bs-Latn-BA"/>
        </w:rPr>
        <w:t>IZVJEŠTAJ O PROVOĐENJU GENDER AKCIONOG PLANA TUZLANSKOG KANTONA</w:t>
      </w:r>
      <w:r w:rsidR="00E257D2" w:rsidRPr="00033459">
        <w:rPr>
          <w:rFonts w:ascii="Cambria" w:eastAsia="Times New Roman" w:hAnsi="Cambria" w:cs="Times New Roman"/>
          <w:b/>
          <w:bCs/>
          <w:sz w:val="28"/>
          <w:szCs w:val="28"/>
          <w:lang w:val="bs-Latn-BA"/>
        </w:rPr>
        <w:t xml:space="preserve"> </w:t>
      </w:r>
      <w:r w:rsidRPr="00033459">
        <w:rPr>
          <w:rFonts w:ascii="Cambria" w:eastAsia="Times New Roman" w:hAnsi="Cambria" w:cs="Times New Roman"/>
          <w:b/>
          <w:bCs/>
          <w:sz w:val="28"/>
          <w:szCs w:val="28"/>
          <w:lang w:val="bs-Latn-BA"/>
        </w:rPr>
        <w:t>(GAP</w:t>
      </w:r>
      <w:r w:rsidR="00E257D2" w:rsidRPr="00033459">
        <w:rPr>
          <w:rFonts w:ascii="Cambria" w:eastAsia="Times New Roman" w:hAnsi="Cambria" w:cs="Times New Roman"/>
          <w:b/>
          <w:bCs/>
          <w:sz w:val="28"/>
          <w:szCs w:val="28"/>
          <w:lang w:val="bs-Latn-BA"/>
        </w:rPr>
        <w:t xml:space="preserve"> </w:t>
      </w:r>
      <w:r w:rsidRPr="00033459">
        <w:rPr>
          <w:rFonts w:ascii="Cambria" w:eastAsia="Times New Roman" w:hAnsi="Cambria" w:cs="Times New Roman"/>
          <w:b/>
          <w:bCs/>
          <w:sz w:val="28"/>
          <w:szCs w:val="28"/>
          <w:lang w:val="bs-Latn-BA"/>
        </w:rPr>
        <w:t>TK) ZA PERIOD OD 2021. DO 2024. GODINE</w:t>
      </w:r>
    </w:p>
    <w:p w:rsidR="00993B1F" w:rsidRPr="00033459" w:rsidRDefault="00942562" w:rsidP="002F596A">
      <w:pPr>
        <w:jc w:val="center"/>
        <w:rPr>
          <w:rFonts w:ascii="Cambria" w:eastAsia="Times New Roman" w:hAnsi="Cambria" w:cs="Times New Roman"/>
          <w:b/>
          <w:bCs/>
          <w:sz w:val="28"/>
          <w:szCs w:val="28"/>
          <w:lang w:val="bs-Latn-BA"/>
        </w:rPr>
      </w:pPr>
      <w:r w:rsidRPr="00033459">
        <w:rPr>
          <w:rFonts w:ascii="Cambria" w:eastAsia="Times New Roman" w:hAnsi="Cambria" w:cs="Times New Roman"/>
          <w:b/>
          <w:bCs/>
          <w:sz w:val="28"/>
          <w:szCs w:val="28"/>
          <w:lang w:val="bs-Latn-BA"/>
        </w:rPr>
        <w:t>ZA PERIOD 01.01.2024. DO 31.12.2024.GODINE</w:t>
      </w: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993B1F" w:rsidP="002F596A">
      <w:pPr>
        <w:jc w:val="both"/>
        <w:rPr>
          <w:rFonts w:ascii="Cambria" w:eastAsia="Times New Roman" w:hAnsi="Cambria" w:cs="Times New Roman"/>
          <w:lang w:val="bs-Latn-BA"/>
        </w:rPr>
      </w:pPr>
    </w:p>
    <w:p w:rsidR="00993B1F" w:rsidRPr="00033459" w:rsidRDefault="002F596A" w:rsidP="002F596A">
      <w:pPr>
        <w:jc w:val="center"/>
        <w:rPr>
          <w:rFonts w:ascii="Cambria" w:eastAsia="Times New Roman" w:hAnsi="Cambria" w:cs="Times New Roman"/>
          <w:lang w:val="bs-Latn-BA"/>
        </w:rPr>
      </w:pPr>
      <w:r w:rsidRPr="00033459">
        <w:rPr>
          <w:rFonts w:ascii="Cambria" w:eastAsia="Times New Roman" w:hAnsi="Cambria" w:cs="Times New Roman"/>
          <w:lang w:val="bs-Latn-BA"/>
        </w:rPr>
        <w:t>April, 2025.</w:t>
      </w:r>
    </w:p>
    <w:p w:rsidR="00993B1F" w:rsidRPr="00033459" w:rsidRDefault="00942562" w:rsidP="002F596A">
      <w:pPr>
        <w:jc w:val="center"/>
        <w:rPr>
          <w:rFonts w:ascii="Cambria" w:eastAsia="Times New Roman" w:hAnsi="Cambria" w:cs="Times New Roman"/>
          <w:lang w:val="bs-Latn-BA"/>
        </w:rPr>
      </w:pPr>
      <w:r w:rsidRPr="00033459">
        <w:rPr>
          <w:rFonts w:ascii="Cambria" w:hAnsi="Cambria"/>
          <w:lang w:val="bs-Latn-BA"/>
        </w:rPr>
        <w:br w:type="page"/>
      </w:r>
    </w:p>
    <w:p w:rsidR="00993B1F" w:rsidRPr="00033459" w:rsidRDefault="00993B1F" w:rsidP="00E542BE">
      <w:pPr>
        <w:pStyle w:val="Heading1"/>
      </w:pPr>
    </w:p>
    <w:p w:rsidR="004F32B1" w:rsidRDefault="00942562" w:rsidP="00E542BE">
      <w:pPr>
        <w:pStyle w:val="Heading1"/>
      </w:pPr>
      <w:bookmarkStart w:id="1" w:name="_Toc195186398"/>
      <w:r w:rsidRPr="00033459">
        <w:t>Sadržaj</w:t>
      </w:r>
      <w:bookmarkEnd w:id="1"/>
    </w:p>
    <w:sdt>
      <w:sdtPr>
        <w:rPr>
          <w:rFonts w:ascii="Calibri" w:eastAsiaTheme="minorHAnsi" w:hAnsi="Calibri" w:cs="Calibri"/>
          <w:color w:val="auto"/>
          <w:sz w:val="22"/>
          <w:szCs w:val="22"/>
          <w:lang w:val="en-GB"/>
        </w:rPr>
        <w:id w:val="-395356165"/>
        <w:docPartObj>
          <w:docPartGallery w:val="Table of Contents"/>
          <w:docPartUnique/>
        </w:docPartObj>
      </w:sdtPr>
      <w:sdtEndPr>
        <w:rPr>
          <w:rFonts w:ascii="Gill Sans MT" w:hAnsi="Gill Sans MT"/>
          <w:b/>
          <w:bCs/>
          <w:noProof/>
        </w:rPr>
      </w:sdtEndPr>
      <w:sdtContent>
        <w:p w:rsidR="00E542BE" w:rsidRPr="00E542BE" w:rsidRDefault="00E542BE" w:rsidP="00E542BE">
          <w:pPr>
            <w:pStyle w:val="TOCHeading"/>
            <w:rPr>
              <w:rFonts w:ascii="Gill Sans MT" w:eastAsiaTheme="minorEastAsia" w:hAnsi="Gill Sans MT" w:cstheme="minorBidi"/>
              <w:noProof/>
              <w:kern w:val="2"/>
              <w:sz w:val="24"/>
              <w:szCs w:val="24"/>
              <w:lang w:eastAsia="en-GB"/>
              <w14:ligatures w14:val="standardContextual"/>
            </w:rPr>
          </w:pPr>
          <w:r w:rsidRPr="00E542BE">
            <w:rPr>
              <w:rFonts w:ascii="Gill Sans MT" w:hAnsi="Gill Sans MT"/>
            </w:rPr>
            <w:fldChar w:fldCharType="begin"/>
          </w:r>
          <w:r w:rsidRPr="00E542BE">
            <w:rPr>
              <w:rFonts w:ascii="Gill Sans MT" w:hAnsi="Gill Sans MT"/>
            </w:rPr>
            <w:instrText xml:space="preserve"> TOC \o "1-3" \h \z \u </w:instrText>
          </w:r>
          <w:r w:rsidRPr="00E542BE">
            <w:rPr>
              <w:rFonts w:ascii="Gill Sans MT" w:hAnsi="Gill Sans MT"/>
            </w:rPr>
            <w:fldChar w:fldCharType="separate"/>
          </w:r>
        </w:p>
        <w:p w:rsidR="00E542BE" w:rsidRPr="00E542BE" w:rsidRDefault="00CC26AD">
          <w:pPr>
            <w:pStyle w:val="TOC1"/>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399" w:history="1">
            <w:r w:rsidR="00E542BE" w:rsidRPr="00E542BE">
              <w:rPr>
                <w:rStyle w:val="Hyperlink"/>
                <w:rFonts w:ascii="Gill Sans MT" w:hAnsi="Gill Sans MT"/>
                <w:noProof/>
                <w:lang w:val="bs-Latn-BA"/>
              </w:rPr>
              <w:t>UVOD</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_Toc195186399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3</w:t>
            </w:r>
            <w:r w:rsidR="00E542BE" w:rsidRPr="00E542BE">
              <w:rPr>
                <w:rFonts w:ascii="Gill Sans MT" w:hAnsi="Gill Sans MT"/>
                <w:noProof/>
                <w:webHidden/>
              </w:rPr>
              <w:fldChar w:fldCharType="end"/>
            </w:r>
          </w:hyperlink>
        </w:p>
        <w:p w:rsidR="00E542BE" w:rsidRPr="00E542BE" w:rsidRDefault="00CC26AD">
          <w:pPr>
            <w:pStyle w:val="TOC1"/>
            <w:tabs>
              <w:tab w:val="right" w:leader="dot" w:pos="9016"/>
            </w:tabs>
            <w:rPr>
              <w:rFonts w:ascii="Gill Sans MT" w:eastAsiaTheme="minorEastAsia" w:hAnsi="Gill Sans MT" w:cstheme="minorBidi"/>
              <w:b/>
              <w:bCs/>
              <w:noProof/>
              <w:kern w:val="2"/>
              <w:sz w:val="24"/>
              <w:szCs w:val="24"/>
              <w:lang w:eastAsia="en-GB"/>
              <w14:ligatures w14:val="standardContextual"/>
            </w:rPr>
          </w:pPr>
          <w:hyperlink w:anchor="_Toc195186400" w:history="1">
            <w:r w:rsidR="00E542BE" w:rsidRPr="00E542BE">
              <w:rPr>
                <w:rStyle w:val="Hyperlink"/>
                <w:rFonts w:ascii="Gill Sans MT" w:hAnsi="Gill Sans MT"/>
                <w:b/>
                <w:bCs/>
                <w:noProof/>
                <w:lang w:val="bs-Latn-BA"/>
              </w:rPr>
              <w:t>1. SREDNJEROČNI CILJ 1. - MINISTARSTVA I SLUŽBE DJELUJU ZA RAVNOPRAVNOST SPOLOVA</w:t>
            </w:r>
            <w:r w:rsidR="00E542BE" w:rsidRPr="00E542BE">
              <w:rPr>
                <w:rFonts w:ascii="Gill Sans MT" w:hAnsi="Gill Sans MT"/>
                <w:b/>
                <w:bCs/>
                <w:noProof/>
                <w:webHidden/>
              </w:rPr>
              <w:tab/>
            </w:r>
            <w:r w:rsidR="00E542BE" w:rsidRPr="00E542BE">
              <w:rPr>
                <w:rFonts w:ascii="Gill Sans MT" w:hAnsi="Gill Sans MT"/>
                <w:b/>
                <w:bCs/>
                <w:noProof/>
                <w:webHidden/>
              </w:rPr>
              <w:fldChar w:fldCharType="begin"/>
            </w:r>
            <w:r w:rsidR="00E542BE" w:rsidRPr="00E542BE">
              <w:rPr>
                <w:rFonts w:ascii="Gill Sans MT" w:hAnsi="Gill Sans MT"/>
                <w:b/>
                <w:bCs/>
                <w:noProof/>
                <w:webHidden/>
              </w:rPr>
              <w:instrText xml:space="preserve"> PAGEREF _Toc195186400 \h </w:instrText>
            </w:r>
            <w:r w:rsidR="00E542BE" w:rsidRPr="00E542BE">
              <w:rPr>
                <w:rFonts w:ascii="Gill Sans MT" w:hAnsi="Gill Sans MT"/>
                <w:b/>
                <w:bCs/>
                <w:noProof/>
                <w:webHidden/>
              </w:rPr>
            </w:r>
            <w:r w:rsidR="00E542BE" w:rsidRPr="00E542BE">
              <w:rPr>
                <w:rFonts w:ascii="Gill Sans MT" w:hAnsi="Gill Sans MT"/>
                <w:b/>
                <w:bCs/>
                <w:noProof/>
                <w:webHidden/>
              </w:rPr>
              <w:fldChar w:fldCharType="separate"/>
            </w:r>
            <w:r w:rsidR="00E0089A">
              <w:rPr>
                <w:rFonts w:ascii="Gill Sans MT" w:hAnsi="Gill Sans MT"/>
                <w:b/>
                <w:bCs/>
                <w:noProof/>
                <w:webHidden/>
              </w:rPr>
              <w:t>5</w:t>
            </w:r>
            <w:r w:rsidR="00E542BE" w:rsidRPr="00E542BE">
              <w:rPr>
                <w:rFonts w:ascii="Gill Sans MT" w:hAnsi="Gill Sans MT"/>
                <w:b/>
                <w:bCs/>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01" w:history="1">
            <w:r w:rsidR="00E542BE" w:rsidRPr="00E542BE">
              <w:rPr>
                <w:rStyle w:val="Hyperlink"/>
                <w:rFonts w:ascii="Gill Sans MT" w:hAnsi="Gill Sans MT"/>
                <w:noProof/>
              </w:rPr>
              <w:t>1.1. Uspostavljeno kantonalno koordinacijsko tijelo za praćenje Gender akcionog plana</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_Toc195186401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5</w:t>
            </w:r>
            <w:r w:rsidR="00E542BE" w:rsidRPr="00E542BE">
              <w:rPr>
                <w:rFonts w:ascii="Gill Sans MT" w:hAnsi="Gill Sans MT"/>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02" w:history="1">
            <w:r w:rsidR="00E542BE" w:rsidRPr="00E542BE">
              <w:rPr>
                <w:rStyle w:val="Hyperlink"/>
                <w:rFonts w:ascii="Gill Sans MT" w:hAnsi="Gill Sans MT"/>
                <w:noProof/>
              </w:rPr>
              <w:t>1.2. Kapaciteti koordinacionog odbora unaprijeđeni</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_Toc195186402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5</w:t>
            </w:r>
            <w:r w:rsidR="00E542BE" w:rsidRPr="00E542BE">
              <w:rPr>
                <w:rFonts w:ascii="Gill Sans MT" w:hAnsi="Gill Sans MT"/>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03" w:history="1">
            <w:r w:rsidR="00E542BE" w:rsidRPr="00E542BE">
              <w:rPr>
                <w:rStyle w:val="Hyperlink"/>
                <w:rFonts w:ascii="Gill Sans MT" w:hAnsi="Gill Sans MT"/>
                <w:noProof/>
              </w:rPr>
              <w:t>1.3. Uspostavljeni instrumenti za redovnu procjenu uticaja propisa na ravnopravnost spolova</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_Toc195186403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7</w:t>
            </w:r>
            <w:r w:rsidR="00E542BE" w:rsidRPr="00E542BE">
              <w:rPr>
                <w:rFonts w:ascii="Gill Sans MT" w:hAnsi="Gill Sans MT"/>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04" w:history="1">
            <w:r w:rsidR="00E542BE" w:rsidRPr="00E542BE">
              <w:rPr>
                <w:rStyle w:val="Hyperlink"/>
                <w:rFonts w:ascii="Gill Sans MT" w:hAnsi="Gill Sans MT"/>
                <w:noProof/>
              </w:rPr>
              <w:t>1.4. Provedene sektorske analize mogućnosti za unapređenje stanja ravnopravnosti spolova u prioritetnim oblastima</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_Toc195186404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7</w:t>
            </w:r>
            <w:r w:rsidR="00E542BE" w:rsidRPr="00E542BE">
              <w:rPr>
                <w:rFonts w:ascii="Gill Sans MT" w:hAnsi="Gill Sans MT"/>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05" w:history="1">
            <w:r w:rsidR="00E542BE" w:rsidRPr="00E542BE">
              <w:rPr>
                <w:rStyle w:val="Hyperlink"/>
                <w:rFonts w:ascii="Gill Sans MT" w:hAnsi="Gill Sans MT"/>
                <w:noProof/>
              </w:rPr>
              <w:t>1.5. Budžet sadrži procjenu uticaja na ravnopravnost spolova (rodno-odgovorno budžetiranje)</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_Toc195186405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7</w:t>
            </w:r>
            <w:r w:rsidR="00E542BE" w:rsidRPr="00E542BE">
              <w:rPr>
                <w:rFonts w:ascii="Gill Sans MT" w:hAnsi="Gill Sans MT"/>
                <w:noProof/>
                <w:webHidden/>
              </w:rPr>
              <w:fldChar w:fldCharType="end"/>
            </w:r>
          </w:hyperlink>
        </w:p>
        <w:p w:rsidR="00E542BE" w:rsidRPr="00E542BE" w:rsidRDefault="00CC26AD">
          <w:pPr>
            <w:pStyle w:val="TOC1"/>
            <w:tabs>
              <w:tab w:val="right" w:leader="dot" w:pos="9016"/>
            </w:tabs>
            <w:rPr>
              <w:rFonts w:ascii="Gill Sans MT" w:eastAsiaTheme="minorEastAsia" w:hAnsi="Gill Sans MT" w:cstheme="minorBidi"/>
              <w:b/>
              <w:bCs/>
              <w:noProof/>
              <w:kern w:val="2"/>
              <w:sz w:val="24"/>
              <w:szCs w:val="24"/>
              <w:lang w:eastAsia="en-GB"/>
              <w14:ligatures w14:val="standardContextual"/>
            </w:rPr>
          </w:pPr>
          <w:hyperlink w:anchor="_Toc195186406" w:history="1">
            <w:r w:rsidR="00E542BE" w:rsidRPr="00E542BE">
              <w:rPr>
                <w:rStyle w:val="Hyperlink"/>
                <w:rFonts w:ascii="Gill Sans MT" w:hAnsi="Gill Sans MT"/>
                <w:b/>
                <w:bCs/>
                <w:noProof/>
                <w:lang w:val="bs-Latn-BA"/>
              </w:rPr>
              <w:t>2 SREDNJEROČNI CILJ 2- UNAPREĐENO JE STANJE RAVNOPRAVNOSTI SPOLOVA NA PODRUČJU TK</w:t>
            </w:r>
            <w:r w:rsidR="00E542BE" w:rsidRPr="00E542BE">
              <w:rPr>
                <w:rFonts w:ascii="Gill Sans MT" w:hAnsi="Gill Sans MT"/>
                <w:b/>
                <w:bCs/>
                <w:noProof/>
                <w:webHidden/>
              </w:rPr>
              <w:tab/>
            </w:r>
            <w:r w:rsidR="00E542BE" w:rsidRPr="00E542BE">
              <w:rPr>
                <w:rFonts w:ascii="Gill Sans MT" w:hAnsi="Gill Sans MT"/>
                <w:b/>
                <w:bCs/>
                <w:noProof/>
                <w:webHidden/>
              </w:rPr>
              <w:fldChar w:fldCharType="begin"/>
            </w:r>
            <w:r w:rsidR="00E542BE" w:rsidRPr="00E542BE">
              <w:rPr>
                <w:rFonts w:ascii="Gill Sans MT" w:hAnsi="Gill Sans MT"/>
                <w:b/>
                <w:bCs/>
                <w:noProof/>
                <w:webHidden/>
              </w:rPr>
              <w:instrText xml:space="preserve"> PAGEREF _Toc195186406 \h </w:instrText>
            </w:r>
            <w:r w:rsidR="00E542BE" w:rsidRPr="00E542BE">
              <w:rPr>
                <w:rFonts w:ascii="Gill Sans MT" w:hAnsi="Gill Sans MT"/>
                <w:b/>
                <w:bCs/>
                <w:noProof/>
                <w:webHidden/>
              </w:rPr>
            </w:r>
            <w:r w:rsidR="00E542BE" w:rsidRPr="00E542BE">
              <w:rPr>
                <w:rFonts w:ascii="Gill Sans MT" w:hAnsi="Gill Sans MT"/>
                <w:b/>
                <w:bCs/>
                <w:noProof/>
                <w:webHidden/>
              </w:rPr>
              <w:fldChar w:fldCharType="separate"/>
            </w:r>
            <w:r w:rsidR="00E0089A">
              <w:rPr>
                <w:rFonts w:ascii="Gill Sans MT" w:hAnsi="Gill Sans MT"/>
                <w:b/>
                <w:bCs/>
                <w:noProof/>
                <w:webHidden/>
              </w:rPr>
              <w:t>11</w:t>
            </w:r>
            <w:r w:rsidR="00E542BE" w:rsidRPr="00E542BE">
              <w:rPr>
                <w:rFonts w:ascii="Gill Sans MT" w:hAnsi="Gill Sans MT"/>
                <w:b/>
                <w:bCs/>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07" w:history="1">
            <w:r w:rsidR="00E542BE" w:rsidRPr="00E542BE">
              <w:rPr>
                <w:rStyle w:val="Hyperlink"/>
                <w:rFonts w:ascii="Gill Sans MT" w:hAnsi="Gill Sans MT"/>
                <w:noProof/>
              </w:rPr>
              <w:t>2.1. Obrazovni sektor doprinosi ravnopravnosti spolova</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_Toc195186407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11</w:t>
            </w:r>
            <w:r w:rsidR="00E542BE" w:rsidRPr="00E542BE">
              <w:rPr>
                <w:rFonts w:ascii="Gill Sans MT" w:hAnsi="Gill Sans MT"/>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08" w:history="1">
            <w:r w:rsidR="00E542BE" w:rsidRPr="00E542BE">
              <w:rPr>
                <w:rStyle w:val="Hyperlink"/>
                <w:rFonts w:ascii="Gill Sans MT" w:hAnsi="Gill Sans MT"/>
                <w:noProof/>
              </w:rPr>
              <w:t>2.2. Smanjen jaz između žena i muškaraca na tržištu rada</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_Toc195186408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12</w:t>
            </w:r>
            <w:r w:rsidR="00E542BE" w:rsidRPr="00E542BE">
              <w:rPr>
                <w:rFonts w:ascii="Gill Sans MT" w:hAnsi="Gill Sans MT"/>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09" w:history="1">
            <w:r w:rsidR="00E542BE" w:rsidRPr="00E542BE">
              <w:rPr>
                <w:rStyle w:val="Hyperlink"/>
                <w:rFonts w:ascii="Gill Sans MT" w:hAnsi="Gill Sans MT"/>
                <w:noProof/>
              </w:rPr>
              <w:t>2.3. Prevencija i zaštita od nasilja u porodici i nasilja na osnovu spola</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_Toc195186409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15</w:t>
            </w:r>
            <w:r w:rsidR="00E542BE" w:rsidRPr="00E542BE">
              <w:rPr>
                <w:rFonts w:ascii="Gill Sans MT" w:hAnsi="Gill Sans MT"/>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10" w:history="1">
            <w:r w:rsidR="00E542BE" w:rsidRPr="00E542BE">
              <w:rPr>
                <w:rStyle w:val="Hyperlink"/>
                <w:rFonts w:ascii="Gill Sans MT" w:hAnsi="Gill Sans MT"/>
                <w:noProof/>
              </w:rPr>
              <w:t>2.4. Osigurana ravnopravna zastupljenost osoba muškog i ženskog spola u tijelima nad kojima Kanton vrši nadzor</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_Toc195186410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19</w:t>
            </w:r>
            <w:r w:rsidR="00E542BE" w:rsidRPr="00E542BE">
              <w:rPr>
                <w:rFonts w:ascii="Gill Sans MT" w:hAnsi="Gill Sans MT"/>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11" w:history="1">
            <w:r w:rsidR="00E542BE" w:rsidRPr="00E542BE">
              <w:rPr>
                <w:rStyle w:val="Hyperlink"/>
                <w:rFonts w:ascii="Gill Sans MT" w:hAnsi="Gill Sans MT"/>
                <w:noProof/>
              </w:rPr>
              <w:t>2.5. Unaprijeđeno zdravlje i seksualno i reproduktivno zdravlje</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_Toc195186411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20</w:t>
            </w:r>
            <w:r w:rsidR="00E542BE" w:rsidRPr="00E542BE">
              <w:rPr>
                <w:rFonts w:ascii="Gill Sans MT" w:hAnsi="Gill Sans MT"/>
                <w:noProof/>
                <w:webHidden/>
              </w:rPr>
              <w:fldChar w:fldCharType="end"/>
            </w:r>
          </w:hyperlink>
        </w:p>
        <w:p w:rsidR="00E542BE" w:rsidRPr="00E542BE" w:rsidRDefault="00CC26AD">
          <w:pPr>
            <w:pStyle w:val="TOC1"/>
            <w:tabs>
              <w:tab w:val="right" w:leader="dot" w:pos="9016"/>
            </w:tabs>
            <w:rPr>
              <w:rFonts w:ascii="Gill Sans MT" w:eastAsiaTheme="minorEastAsia" w:hAnsi="Gill Sans MT" w:cstheme="minorBidi"/>
              <w:b/>
              <w:bCs/>
              <w:noProof/>
              <w:kern w:val="2"/>
              <w:sz w:val="24"/>
              <w:szCs w:val="24"/>
              <w:lang w:eastAsia="en-GB"/>
              <w14:ligatures w14:val="standardContextual"/>
            </w:rPr>
          </w:pPr>
          <w:hyperlink w:anchor="_Toc195186412" w:history="1">
            <w:r w:rsidR="00E542BE" w:rsidRPr="00E542BE">
              <w:rPr>
                <w:rStyle w:val="Hyperlink"/>
                <w:rFonts w:ascii="Gill Sans MT" w:hAnsi="Gill Sans MT"/>
                <w:b/>
                <w:bCs/>
                <w:noProof/>
                <w:lang w:val="bs-Latn-BA"/>
              </w:rPr>
              <w:t>3 SREDNJEROČNI CILJ 3. PRATI SE STANJE I SARAĐUJE SA DRUGIM AKTERIMA NA UNAPREĐENJU STANJA RAVNOPRAVNOSTI SPOLOVA</w:t>
            </w:r>
            <w:r w:rsidR="00E542BE" w:rsidRPr="00E542BE">
              <w:rPr>
                <w:rFonts w:ascii="Gill Sans MT" w:hAnsi="Gill Sans MT"/>
                <w:b/>
                <w:bCs/>
                <w:noProof/>
                <w:webHidden/>
              </w:rPr>
              <w:tab/>
            </w:r>
            <w:r w:rsidR="00E542BE" w:rsidRPr="00E542BE">
              <w:rPr>
                <w:rFonts w:ascii="Gill Sans MT" w:hAnsi="Gill Sans MT"/>
                <w:b/>
                <w:bCs/>
                <w:noProof/>
                <w:webHidden/>
              </w:rPr>
              <w:fldChar w:fldCharType="begin"/>
            </w:r>
            <w:r w:rsidR="00E542BE" w:rsidRPr="00E542BE">
              <w:rPr>
                <w:rFonts w:ascii="Gill Sans MT" w:hAnsi="Gill Sans MT"/>
                <w:b/>
                <w:bCs/>
                <w:noProof/>
                <w:webHidden/>
              </w:rPr>
              <w:instrText xml:space="preserve"> PAGEREF _Toc195186412 \h </w:instrText>
            </w:r>
            <w:r w:rsidR="00E542BE" w:rsidRPr="00E542BE">
              <w:rPr>
                <w:rFonts w:ascii="Gill Sans MT" w:hAnsi="Gill Sans MT"/>
                <w:b/>
                <w:bCs/>
                <w:noProof/>
                <w:webHidden/>
              </w:rPr>
            </w:r>
            <w:r w:rsidR="00E542BE" w:rsidRPr="00E542BE">
              <w:rPr>
                <w:rFonts w:ascii="Gill Sans MT" w:hAnsi="Gill Sans MT"/>
                <w:b/>
                <w:bCs/>
                <w:noProof/>
                <w:webHidden/>
              </w:rPr>
              <w:fldChar w:fldCharType="separate"/>
            </w:r>
            <w:r w:rsidR="00E0089A">
              <w:rPr>
                <w:rFonts w:ascii="Gill Sans MT" w:hAnsi="Gill Sans MT"/>
                <w:b/>
                <w:bCs/>
                <w:noProof/>
                <w:webHidden/>
              </w:rPr>
              <w:t>22</w:t>
            </w:r>
            <w:r w:rsidR="00E542BE" w:rsidRPr="00E542BE">
              <w:rPr>
                <w:rFonts w:ascii="Gill Sans MT" w:hAnsi="Gill Sans MT"/>
                <w:b/>
                <w:bCs/>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13" w:history="1">
            <w:r w:rsidR="00E542BE" w:rsidRPr="00E542BE">
              <w:rPr>
                <w:rStyle w:val="Hyperlink"/>
                <w:rFonts w:ascii="Gill Sans MT" w:hAnsi="Gill Sans MT"/>
                <w:noProof/>
              </w:rPr>
              <w:t>3.1. Kanton doprinosi promociji ravnopravnosti spolova</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_Toc195186413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22</w:t>
            </w:r>
            <w:r w:rsidR="00E542BE" w:rsidRPr="00E542BE">
              <w:rPr>
                <w:rFonts w:ascii="Gill Sans MT" w:hAnsi="Gill Sans MT"/>
                <w:noProof/>
                <w:webHidden/>
              </w:rPr>
              <w:fldChar w:fldCharType="end"/>
            </w:r>
          </w:hyperlink>
        </w:p>
        <w:p w:rsidR="00E542BE" w:rsidRPr="00E542BE" w:rsidRDefault="00CC26AD">
          <w:pPr>
            <w:pStyle w:val="TOC2"/>
            <w:tabs>
              <w:tab w:val="right" w:leader="dot" w:pos="9016"/>
            </w:tabs>
            <w:rPr>
              <w:rFonts w:ascii="Gill Sans MT" w:eastAsiaTheme="minorEastAsia" w:hAnsi="Gill Sans MT" w:cstheme="minorBidi"/>
              <w:noProof/>
              <w:kern w:val="2"/>
              <w:sz w:val="24"/>
              <w:szCs w:val="24"/>
              <w:lang w:eastAsia="en-GB"/>
              <w14:ligatures w14:val="standardContextual"/>
            </w:rPr>
          </w:pPr>
          <w:hyperlink w:anchor="_Toc195186414" w:history="1">
            <w:r w:rsidR="00E542BE" w:rsidRPr="00E542BE">
              <w:rPr>
                <w:rStyle w:val="Hyperlink"/>
                <w:rFonts w:ascii="Gill Sans MT" w:hAnsi="Gill Sans MT"/>
                <w:noProof/>
              </w:rPr>
              <w:t>3.2. Civilno društvo učestvuje u definiranju prioriteta za djelovanje u oblasti ravnopravnosti spolova</w:t>
            </w:r>
            <w:r w:rsidR="00E542BE" w:rsidRPr="00E542BE">
              <w:rPr>
                <w:rFonts w:ascii="Gill Sans MT" w:hAnsi="Gill Sans MT"/>
                <w:noProof/>
                <w:webHidden/>
              </w:rPr>
              <w:tab/>
            </w:r>
            <w:r w:rsidR="00E542BE" w:rsidRPr="00E542BE">
              <w:rPr>
                <w:rFonts w:ascii="Gill Sans MT" w:hAnsi="Gill Sans MT"/>
                <w:noProof/>
                <w:webHidden/>
              </w:rPr>
              <w:fldChar w:fldCharType="begin"/>
            </w:r>
            <w:r w:rsidR="00E542BE" w:rsidRPr="00E542BE">
              <w:rPr>
                <w:rFonts w:ascii="Gill Sans MT" w:hAnsi="Gill Sans MT"/>
                <w:noProof/>
                <w:webHidden/>
              </w:rPr>
              <w:instrText xml:space="preserve"> PAGEREF _Toc195186414 \h </w:instrText>
            </w:r>
            <w:r w:rsidR="00E542BE" w:rsidRPr="00E542BE">
              <w:rPr>
                <w:rFonts w:ascii="Gill Sans MT" w:hAnsi="Gill Sans MT"/>
                <w:noProof/>
                <w:webHidden/>
              </w:rPr>
            </w:r>
            <w:r w:rsidR="00E542BE" w:rsidRPr="00E542BE">
              <w:rPr>
                <w:rFonts w:ascii="Gill Sans MT" w:hAnsi="Gill Sans MT"/>
                <w:noProof/>
                <w:webHidden/>
              </w:rPr>
              <w:fldChar w:fldCharType="separate"/>
            </w:r>
            <w:r w:rsidR="00E0089A">
              <w:rPr>
                <w:rFonts w:ascii="Gill Sans MT" w:hAnsi="Gill Sans MT"/>
                <w:noProof/>
                <w:webHidden/>
              </w:rPr>
              <w:t>22</w:t>
            </w:r>
            <w:r w:rsidR="00E542BE" w:rsidRPr="00E542BE">
              <w:rPr>
                <w:rFonts w:ascii="Gill Sans MT" w:hAnsi="Gill Sans MT"/>
                <w:noProof/>
                <w:webHidden/>
              </w:rPr>
              <w:fldChar w:fldCharType="end"/>
            </w:r>
          </w:hyperlink>
        </w:p>
        <w:p w:rsidR="00E542BE" w:rsidRPr="00E542BE" w:rsidRDefault="00E542BE">
          <w:pPr>
            <w:rPr>
              <w:rFonts w:ascii="Gill Sans MT" w:hAnsi="Gill Sans MT"/>
            </w:rPr>
          </w:pPr>
          <w:r w:rsidRPr="00E542BE">
            <w:rPr>
              <w:rFonts w:ascii="Gill Sans MT" w:hAnsi="Gill Sans MT"/>
              <w:b/>
              <w:bCs/>
              <w:noProof/>
            </w:rPr>
            <w:fldChar w:fldCharType="end"/>
          </w:r>
        </w:p>
      </w:sdtContent>
    </w:sdt>
    <w:p w:rsidR="00E542BE" w:rsidRPr="00033459" w:rsidRDefault="00E542BE" w:rsidP="00E542BE">
      <w:pPr>
        <w:pStyle w:val="Heading1"/>
      </w:pPr>
    </w:p>
    <w:p w:rsidR="00993B1F" w:rsidRPr="00033459" w:rsidRDefault="00942562" w:rsidP="002F596A">
      <w:pPr>
        <w:pStyle w:val="Heading1"/>
        <w:rPr>
          <w:lang w:val="bs-Latn-BA"/>
        </w:rPr>
      </w:pPr>
      <w:r w:rsidRPr="00033459">
        <w:rPr>
          <w:lang w:val="bs-Latn-BA"/>
        </w:rPr>
        <w:br w:type="page"/>
      </w:r>
      <w:bookmarkStart w:id="2" w:name="_Toc195186399"/>
      <w:r w:rsidRPr="00033459">
        <w:rPr>
          <w:lang w:val="bs-Latn-BA"/>
        </w:rPr>
        <w:lastRenderedPageBreak/>
        <w:t>UVOD</w:t>
      </w:r>
      <w:bookmarkEnd w:id="2"/>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 xml:space="preserve">Vlada Tuzlanskog kantona usvojila Gender akcioni plan za period 2022-2024. godina, a isti je izrađen od strane Interresorne radne grupe imenovane od strane Vlade a uz stručnu i finansijsku podršku Gender Centra Federacije BiH. Ovaj dokument je usvojen Zaključkom Vlade Tuzlanskog kantona, broj: 02/1-04-26477/21 od 23.11.2021. godine. </w:t>
      </w:r>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Gender akcioni i finansijski plan (GAP) Tuzlanskog kantona je strateško-planski dokument koji svojom implementacijom treba da potiče budući rast i razvoj zajednice, te unaprijedi ravnopravnost spolova u zajednici. Uvođenje principa ravnopravnosti spolova u razvojne politike, strategije, projekte i programe je od posebnog značaja na kantonalnom nivou, zbog nadležnosti koji kantonalni nivo vlasti ima.</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 xml:space="preserve">GAP TK osigurava provođenje ustavnih i zakonskih obaveza jer se njime osigurava koordinirano i usmjereno djelovanje svih tijela TK. Skupština TK je svojim Zaključkom broj: 01-02-137-22/21 od 25.02.2021. godine zadužila Vladu TK i Ministarstvo za rad, socijalnu politiku i povratak TK da pristupe izradi i donošenju Operativnog i finasijskog plana za provedbu Gender akcionog plana BiH u Tuzlanskom kantonu, a u skladu sa Gender akcionim planom Bosne i Hercegovine za period 2018. do 2022. godina. Vlada TK je donijela Odluku broj: 02/1-04-6818-2/21 od 11.05.2021. godine kojom je imenovana Interresorna radna grupa za izradu i donošenje Operativnog i finansijskog plana za provedbu Gender akcionog plana BiH u Tuzlanskom kantonu, a koju čine predstavnici kantonalnih ministarstava i nevladinih organizacija. Proces je koordinirao Gender centar Federacije Bosne i Hercegovine. </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 xml:space="preserve">Tokom sastanaka Grupe analizirano je stanje ravnopravnosti spolova u Tuzlanskom kantonu i utvrđene su oblasti neravnopravnosti spolova, identificirane su strukturalne prepreke za ravnopravnost spolova i prilike za unapređenje trenutnog stanja te je izrađen nacrt dokumenta. </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U skladu sa prethodnom analizom stanja ravnopravnosti u kantonu i pregleda provođenja obaveza iz Zakona o ravnopravnosti spolova u Bosni i Hercegovini jasno je da donošenje Gender akcionog plana TK predstavlja optimalan pristup za unapređenje stanja ravnopravnosti spolova.</w:t>
      </w: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U odnosu na te analize struktura Gender akcionog plana TK za period 2021 – 2024. godina odražava trenutno stanje ravnopravnosti spolova i institucionalizacije ravnopravnosti spolova i sadrži tri srednjeročna cilja te u okviru svakog cilja rezultate koji se planiraju postići i to:</w:t>
      </w:r>
    </w:p>
    <w:p w:rsidR="00993B1F" w:rsidRPr="00033459" w:rsidRDefault="00993B1F" w:rsidP="002F596A">
      <w:pPr>
        <w:jc w:val="both"/>
        <w:rPr>
          <w:rFonts w:ascii="Cambria" w:eastAsia="Times New Roman" w:hAnsi="Cambria" w:cs="Times New Roman"/>
          <w:lang w:val="bs-Latn-BA"/>
        </w:rPr>
      </w:pPr>
    </w:p>
    <w:p w:rsidR="00993B1F" w:rsidRPr="00033459" w:rsidRDefault="00942562" w:rsidP="002F596A">
      <w:pPr>
        <w:numPr>
          <w:ilvl w:val="0"/>
          <w:numId w:val="3"/>
        </w:numPr>
        <w:spacing w:after="0"/>
        <w:ind w:left="714" w:hanging="357"/>
        <w:jc w:val="both"/>
        <w:rPr>
          <w:rFonts w:ascii="Cambria" w:eastAsia="Times New Roman" w:hAnsi="Cambria" w:cs="Times New Roman"/>
          <w:lang w:val="bs-Latn-BA"/>
        </w:rPr>
      </w:pPr>
      <w:r w:rsidRPr="00033459">
        <w:rPr>
          <w:rFonts w:ascii="Cambria" w:eastAsia="Times New Roman" w:hAnsi="Cambria" w:cs="Times New Roman"/>
          <w:lang w:val="bs-Latn-BA"/>
        </w:rPr>
        <w:t>Srednjeročni cilj 1.Ministarstva i druga tijela vlade djeluju za ravnopravnost spolova</w:t>
      </w:r>
    </w:p>
    <w:p w:rsidR="00993B1F" w:rsidRPr="00033459" w:rsidRDefault="00942562" w:rsidP="002F596A">
      <w:pPr>
        <w:numPr>
          <w:ilvl w:val="0"/>
          <w:numId w:val="4"/>
        </w:numPr>
        <w:spacing w:after="0"/>
        <w:ind w:left="714" w:hanging="357"/>
        <w:jc w:val="both"/>
        <w:rPr>
          <w:rFonts w:ascii="Cambria" w:eastAsia="Times New Roman" w:hAnsi="Cambria" w:cs="Times New Roman"/>
          <w:lang w:val="bs-Latn-BA"/>
        </w:rPr>
      </w:pPr>
      <w:r w:rsidRPr="00033459">
        <w:rPr>
          <w:rFonts w:ascii="Cambria" w:eastAsia="Times New Roman" w:hAnsi="Cambria" w:cs="Times New Roman"/>
          <w:lang w:val="bs-Latn-BA"/>
        </w:rPr>
        <w:t>Srednjeročni cilj 2. Unaprijeđeno je stanje ravnopravnosti spolova na području TK</w:t>
      </w:r>
    </w:p>
    <w:p w:rsidR="00993B1F" w:rsidRPr="00033459" w:rsidRDefault="00942562" w:rsidP="002F596A">
      <w:pPr>
        <w:numPr>
          <w:ilvl w:val="0"/>
          <w:numId w:val="4"/>
        </w:numPr>
        <w:spacing w:after="0"/>
        <w:ind w:left="714" w:hanging="357"/>
        <w:jc w:val="both"/>
        <w:rPr>
          <w:rFonts w:ascii="Cambria" w:eastAsia="Times New Roman" w:hAnsi="Cambria" w:cs="Times New Roman"/>
          <w:lang w:val="bs-Latn-BA"/>
        </w:rPr>
      </w:pPr>
      <w:r w:rsidRPr="00033459">
        <w:rPr>
          <w:rFonts w:ascii="Cambria" w:eastAsia="Times New Roman" w:hAnsi="Cambria" w:cs="Times New Roman"/>
          <w:lang w:val="bs-Latn-BA"/>
        </w:rPr>
        <w:t xml:space="preserve">Srednjeročni cilj 3. Prati se stanje i sarađuje sa drugim akterima na unapređenju stanja ravnopravnosti spolova </w:t>
      </w:r>
    </w:p>
    <w:p w:rsidR="00993B1F" w:rsidRPr="00033459" w:rsidRDefault="00993B1F" w:rsidP="002F596A">
      <w:pPr>
        <w:jc w:val="both"/>
        <w:rPr>
          <w:rFonts w:ascii="Cambria" w:eastAsia="Times New Roman" w:hAnsi="Cambria" w:cs="Times New Roman"/>
          <w:lang w:val="bs-Latn-BA"/>
        </w:rPr>
      </w:pPr>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Struktura Gender akcionog plana TK je prikazana shematski ispod dok je detaljno prikazana u matrici logičkog okvira u narednom dijelu dokumenta: Ciljevi i aktivnosti Gender akcionog plana TK.</w:t>
      </w: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2F596A" w:rsidP="002F596A">
      <w:pPr>
        <w:spacing w:line="240" w:lineRule="auto"/>
        <w:jc w:val="both"/>
        <w:rPr>
          <w:rFonts w:ascii="Cambria" w:eastAsia="Times New Roman" w:hAnsi="Cambria" w:cs="Times New Roman"/>
          <w:lang w:val="bs-Latn-BA"/>
        </w:rPr>
      </w:pPr>
      <w:r w:rsidRPr="00033459">
        <w:rPr>
          <w:rFonts w:ascii="Cambria" w:eastAsia="Verdana" w:hAnsi="Cambria" w:cs="Times New Roman"/>
          <w:noProof/>
          <w:sz w:val="24"/>
          <w:lang w:val="bs-Latn-BA" w:eastAsia="bs-Latn-BA"/>
        </w:rPr>
        <w:lastRenderedPageBreak/>
        <w:drawing>
          <wp:anchor distT="0" distB="0" distL="114300" distR="114300" simplePos="0" relativeHeight="251659264" behindDoc="0" locked="0" layoutInCell="1" allowOverlap="1" wp14:anchorId="0C6E5B7C" wp14:editId="55EA488F">
            <wp:simplePos x="0" y="0"/>
            <wp:positionH relativeFrom="margin">
              <wp:posOffset>-19050</wp:posOffset>
            </wp:positionH>
            <wp:positionV relativeFrom="margin">
              <wp:posOffset>-290195</wp:posOffset>
            </wp:positionV>
            <wp:extent cx="5729605" cy="4472940"/>
            <wp:effectExtent l="0" t="0" r="42545" b="3810"/>
            <wp:wrapSquare wrapText="bothSides"/>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Ovaj Izvještaj je sačinjen na osnovu informacija koje su dostavile institucije TK koje su bile nositeljice aktivnosti prema GAP TK, a prezentuje najvažnije informacije o aktivnostima relevantnim za postizanje ciljeva GAP TK za period 01.01.2024. – 31.12.2024. godine, s tim da su određene aktivnosti povezane sa prethodnom godinom, te su kao takve obuhvaćene ovim izvještajem.</w:t>
      </w:r>
    </w:p>
    <w:p w:rsidR="00E257D2" w:rsidRPr="00033459" w:rsidRDefault="00E257D2" w:rsidP="002F596A">
      <w:pPr>
        <w:spacing w:line="240" w:lineRule="auto"/>
        <w:jc w:val="both"/>
        <w:rPr>
          <w:rFonts w:ascii="Cambria" w:eastAsia="Times New Roman" w:hAnsi="Cambria" w:cs="Times New Roman"/>
          <w:lang w:val="bs-Latn-BA"/>
        </w:rPr>
      </w:pP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 xml:space="preserve">Izvještavanje o realizovanim aktivnostima u svakom od pomenutih ciljeva i prioritetnih oblasti je u ovom izvještaju metodološki strukturirano kao i sam GAP TK, odnosno, na način da prezentuje najvažnije informacije koje se odnose na: </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Symbol" w:hAnsi="Cambria" w:cs="Symbol"/>
          <w:lang w:val="bs-Latn-BA"/>
        </w:rPr>
        <w:t>∙</w:t>
      </w:r>
      <w:r w:rsidRPr="00033459">
        <w:rPr>
          <w:rFonts w:ascii="Cambria" w:eastAsia="Times New Roman" w:hAnsi="Cambria" w:cs="Times New Roman"/>
          <w:lang w:val="bs-Latn-BA"/>
        </w:rPr>
        <w:t xml:space="preserve"> kratku analizu stanja, uključujući i važeće domaće i međunarodne propise i dokumente; </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Symbol" w:hAnsi="Cambria" w:cs="Symbol"/>
          <w:lang w:val="bs-Latn-BA"/>
        </w:rPr>
        <w:t>∙</w:t>
      </w:r>
      <w:r w:rsidRPr="00033459">
        <w:rPr>
          <w:rFonts w:ascii="Cambria" w:eastAsia="Times New Roman" w:hAnsi="Cambria" w:cs="Times New Roman"/>
          <w:lang w:val="bs-Latn-BA"/>
        </w:rPr>
        <w:t xml:space="preserve"> programe mjera u skladu sa ZoRS-om BiH</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nadležne nosioce odgovornosti i rokove</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Symbol" w:hAnsi="Cambria" w:cs="Symbol"/>
          <w:lang w:val="bs-Latn-BA"/>
        </w:rPr>
        <w:t>∙</w:t>
      </w:r>
      <w:r w:rsidRPr="00033459">
        <w:rPr>
          <w:rFonts w:ascii="Cambria" w:eastAsia="Times New Roman" w:hAnsi="Cambria" w:cs="Times New Roman"/>
          <w:lang w:val="bs-Latn-BA"/>
        </w:rPr>
        <w:t xml:space="preserve">obavezu izvještavanja. </w:t>
      </w:r>
    </w:p>
    <w:p w:rsidR="002F596A"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Izvještaj prezentuje najvažnije informacije o aktivnostima relevantnim za postizanje ciljeva GAP TK</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u 2024.godini.</w:t>
      </w:r>
      <w:r w:rsidR="00E257D2" w:rsidRPr="00033459">
        <w:rPr>
          <w:rFonts w:ascii="Cambria" w:eastAsia="Times New Roman" w:hAnsi="Cambria" w:cs="Times New Roman"/>
          <w:lang w:val="bs-Latn-BA"/>
        </w:rPr>
        <w:t xml:space="preserve"> </w:t>
      </w:r>
      <w:r w:rsidR="002F596A" w:rsidRPr="00033459">
        <w:rPr>
          <w:rFonts w:ascii="Cambria" w:eastAsia="Times New Roman" w:hAnsi="Cambria" w:cs="Times New Roman"/>
          <w:lang w:val="bs-Latn-BA"/>
        </w:rPr>
        <w:t xml:space="preserve"> </w:t>
      </w:r>
    </w:p>
    <w:p w:rsidR="002F596A" w:rsidRPr="00033459" w:rsidRDefault="002F596A" w:rsidP="002F596A">
      <w:pPr>
        <w:spacing w:line="240" w:lineRule="auto"/>
        <w:jc w:val="both"/>
        <w:rPr>
          <w:rFonts w:ascii="Cambria" w:eastAsia="Times New Roman" w:hAnsi="Cambria" w:cs="Times New Roman"/>
          <w:lang w:val="bs-Latn-BA"/>
        </w:rPr>
      </w:pPr>
    </w:p>
    <w:p w:rsidR="002F596A" w:rsidRPr="00033459" w:rsidRDefault="002F596A" w:rsidP="002F596A">
      <w:pPr>
        <w:spacing w:line="240" w:lineRule="auto"/>
        <w:jc w:val="both"/>
        <w:rPr>
          <w:rFonts w:ascii="Cambria" w:eastAsia="Times New Roman" w:hAnsi="Cambria" w:cs="Times New Roman"/>
          <w:lang w:val="bs-Latn-BA"/>
        </w:rPr>
      </w:pP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 xml:space="preserve">Riječi, koje su u ovom Izvještaju pisane u jednom rodu, odnose se bez diskriminacije i na drugi rod. </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hAnsi="Cambria"/>
          <w:lang w:val="bs-Latn-BA"/>
        </w:rPr>
        <w:br w:type="page"/>
      </w:r>
    </w:p>
    <w:p w:rsidR="00993B1F" w:rsidRPr="00033459" w:rsidRDefault="00942562" w:rsidP="002F596A">
      <w:pPr>
        <w:pStyle w:val="Heading1"/>
        <w:rPr>
          <w:lang w:val="bs-Latn-BA"/>
        </w:rPr>
      </w:pPr>
      <w:bookmarkStart w:id="3" w:name="_heading=h.30j0zll" w:colFirst="0" w:colLast="0"/>
      <w:bookmarkStart w:id="4" w:name="_Toc195186400"/>
      <w:bookmarkEnd w:id="3"/>
      <w:r w:rsidRPr="00033459">
        <w:rPr>
          <w:lang w:val="bs-Latn-BA"/>
        </w:rPr>
        <w:lastRenderedPageBreak/>
        <w:t>1. SREDNJEROČNI CILJ 1. - MINISTARSTVA I SLUŽBE DJELUJU ZA RAVNOPRAVNOST SPOLOVA</w:t>
      </w:r>
      <w:bookmarkEnd w:id="4"/>
    </w:p>
    <w:p w:rsidR="00E257D2" w:rsidRPr="00033459" w:rsidRDefault="00E257D2" w:rsidP="002F596A">
      <w:pPr>
        <w:pStyle w:val="Heading2"/>
      </w:pPr>
      <w:bookmarkStart w:id="5" w:name="_heading=h.1fob9te" w:colFirst="0" w:colLast="0"/>
      <w:bookmarkStart w:id="6" w:name="_heading=h.3znysh7" w:colFirst="0" w:colLast="0"/>
      <w:bookmarkStart w:id="7" w:name="_Toc195186401"/>
      <w:bookmarkEnd w:id="5"/>
      <w:bookmarkEnd w:id="6"/>
      <w:r w:rsidRPr="00033459">
        <w:t>1.1. Uspostavljeno kantonalno koordinacijsko tijelo za praćenje Gender akcionog plana</w:t>
      </w:r>
      <w:bookmarkEnd w:id="7"/>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Obrazloženje tačka 1.1. i tačke 1.2.Vlada Tuzlanskog kantona je Odlukom broj: 02/1-04-26477-2/21 od 30.12.2021. godine imenovala članove Koordinacionog odbora za praćenje Gender akcionog plana Tuzlanskog kantona za period 2021. – 2024. godine. Radnu grupu sačinjavaju predstavnici:</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Ministarstva za rad, socijalnu politiku i povratak Tuzlanskog kantona,</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Ministarstva unutrašnjih poslova Tuzlanskog kantona,</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Ministarstva obrazovanja i nauke Tuzlanskog kantona,</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Ministarstva zdravstva Tuzlanskog kantona,</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Ministarstva finansija Tuzlanskog kantona,</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 xml:space="preserve">Ministarstva privrede Tuzlanskog kantona </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Ministarstva za kulturu, sport i mlade Tuzlanskog kantona,</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 xml:space="preserve">Ministarstva pravosuđa i uprave Tuzlanskog kantona, </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JU Službe za zapošljavanje Tuzlanskog kantona i</w:t>
      </w:r>
    </w:p>
    <w:p w:rsidR="00993B1F" w:rsidRPr="00033459" w:rsidRDefault="00942562" w:rsidP="00E542BE">
      <w:pPr>
        <w:numPr>
          <w:ilvl w:val="0"/>
          <w:numId w:val="5"/>
        </w:numPr>
        <w:pBdr>
          <w:top w:val="nil"/>
          <w:left w:val="nil"/>
          <w:bottom w:val="nil"/>
          <w:right w:val="nil"/>
          <w:between w:val="nil"/>
        </w:pBdr>
        <w:spacing w:after="0"/>
        <w:jc w:val="both"/>
        <w:rPr>
          <w:rFonts w:ascii="Cambria" w:eastAsia="Times New Roman" w:hAnsi="Cambria" w:cs="Times New Roman"/>
          <w:lang w:val="bs-Latn-BA"/>
        </w:rPr>
      </w:pPr>
      <w:r w:rsidRPr="00033459">
        <w:rPr>
          <w:rFonts w:ascii="Cambria" w:eastAsia="Times New Roman" w:hAnsi="Cambria" w:cs="Times New Roman"/>
          <w:lang w:val="bs-Latn-BA"/>
        </w:rPr>
        <w:t>Udruženja „Amica Educa“</w:t>
      </w:r>
    </w:p>
    <w:p w:rsidR="00E542BE" w:rsidRDefault="00E542BE" w:rsidP="002F596A">
      <w:pPr>
        <w:spacing w:line="240" w:lineRule="auto"/>
        <w:jc w:val="both"/>
        <w:rPr>
          <w:rFonts w:ascii="Cambria" w:eastAsia="Times New Roman" w:hAnsi="Cambria" w:cs="Times New Roman"/>
          <w:lang w:val="bs-Latn-BA"/>
        </w:rPr>
      </w:pP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Nadležnosti Koordinacionog odbora i obaveze resornih ministarstava utvrđene su Gender akcionim planom Tuzlanskog kantona za period 2021. do 2024. godine</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Nadležnosti Koordinacionog tijela se odnose na:</w:t>
      </w:r>
    </w:p>
    <w:p w:rsidR="00993B1F" w:rsidRPr="00033459" w:rsidRDefault="00942562" w:rsidP="00E542BE">
      <w:pPr>
        <w:numPr>
          <w:ilvl w:val="0"/>
          <w:numId w:val="6"/>
        </w:numPr>
        <w:spacing w:after="0"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Usvajanje plana za praćenje, evaluaciju i izvještavanje o primjeni Gender akcionog plana TK</w:t>
      </w:r>
    </w:p>
    <w:p w:rsidR="00993B1F" w:rsidRPr="00033459" w:rsidRDefault="00942562" w:rsidP="00E542BE">
      <w:pPr>
        <w:numPr>
          <w:ilvl w:val="0"/>
          <w:numId w:val="6"/>
        </w:numPr>
        <w:spacing w:after="0"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Izrada i usvajanje metodologije za izradu godišnjih i završnog izvještaja o provođenja GAP-a</w:t>
      </w:r>
    </w:p>
    <w:p w:rsidR="00993B1F" w:rsidRPr="00033459" w:rsidRDefault="00942562" w:rsidP="00E542BE">
      <w:pPr>
        <w:numPr>
          <w:ilvl w:val="0"/>
          <w:numId w:val="6"/>
        </w:numPr>
        <w:spacing w:after="0"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Izrada i dostavljanje Godišnjeg izvještaja o provođenju GAP i dostavljanje putem Vlade Komisiji za jednakopravnost spolova i Skupštini</w:t>
      </w:r>
    </w:p>
    <w:p w:rsidR="00993B1F" w:rsidRPr="00033459" w:rsidRDefault="00942562" w:rsidP="00E542BE">
      <w:pPr>
        <w:numPr>
          <w:ilvl w:val="0"/>
          <w:numId w:val="6"/>
        </w:numPr>
        <w:spacing w:after="0"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Izvršiti procjenu (evaluaciju) provođenja Gender akcionog plana kao osnovu za izradu narednog Gender akcionog plana</w:t>
      </w:r>
    </w:p>
    <w:p w:rsidR="00993B1F" w:rsidRPr="00033459" w:rsidRDefault="00942562" w:rsidP="00E542BE">
      <w:pPr>
        <w:numPr>
          <w:ilvl w:val="0"/>
          <w:numId w:val="6"/>
        </w:numPr>
        <w:spacing w:after="0"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Utvrditi spisak organizacija civilnog društva i pojedinaca koje se bave ravnopravnošću spolova.</w:t>
      </w:r>
    </w:p>
    <w:p w:rsidR="004F32B1" w:rsidRPr="00033459" w:rsidRDefault="004F32B1" w:rsidP="00E542BE">
      <w:pPr>
        <w:spacing w:line="240" w:lineRule="auto"/>
        <w:jc w:val="both"/>
        <w:rPr>
          <w:rFonts w:ascii="Cambria" w:eastAsia="Times New Roman" w:hAnsi="Cambria" w:cs="Times New Roman"/>
          <w:lang w:val="bs-Latn-BA"/>
        </w:rPr>
      </w:pPr>
    </w:p>
    <w:p w:rsidR="004F32B1" w:rsidRPr="00E542BE" w:rsidRDefault="004F32B1" w:rsidP="00E542BE">
      <w:pPr>
        <w:pStyle w:val="Heading2"/>
      </w:pPr>
      <w:bookmarkStart w:id="8" w:name="_Toc195186402"/>
      <w:r w:rsidRPr="00033459">
        <w:t>1.2. Kapaciteti koordinacionog odbora unaprijeđeni</w:t>
      </w:r>
      <w:bookmarkStart w:id="9" w:name="_heading=h.2et92p0" w:colFirst="0" w:colLast="0"/>
      <w:bookmarkEnd w:id="8"/>
      <w:bookmarkEnd w:id="9"/>
    </w:p>
    <w:p w:rsidR="004F32B1" w:rsidRPr="00033459" w:rsidRDefault="004F32B1" w:rsidP="002F596A">
      <w:pPr>
        <w:jc w:val="both"/>
        <w:rPr>
          <w:rFonts w:ascii="Cambria" w:eastAsia="Times New Roman" w:hAnsi="Cambria" w:cs="Times New Roman"/>
          <w:lang w:val="bs-Latn-BA"/>
        </w:rPr>
      </w:pPr>
      <w:r w:rsidRPr="00033459">
        <w:rPr>
          <w:rFonts w:ascii="Cambria" w:eastAsia="Times New Roman" w:hAnsi="Cambria" w:cs="Times New Roman"/>
          <w:lang w:val="bs-Latn-BA"/>
        </w:rPr>
        <w:t xml:space="preserve">Koordinaciono tijelo za praćenje realizacije Gender akcionog plana Tuzlanskog kantona od dana imenovanja vrši kontinuirane aktivnosti u skladu sa svojim nadležnostima. Aktivnosti na jačanju kapaciteta članova tijela, planirane po usvajanju Gender akcionog plana Tuzlanskog kantona, realizuju se u kontinuitetu. Prvi radni sastanak Koordinacionog tijela održan je 14. marta 2022. godine u prostorijama Ministarstva za rad, socijalnu politiku i povratak Tuzlanskog kantona. Na tom sastanku usvojeni su Poslovnik o radu Koordinacionog tijela i Plan za praćenje, evaluaciju i </w:t>
      </w:r>
      <w:r w:rsidRPr="00033459">
        <w:rPr>
          <w:rFonts w:ascii="Cambria" w:eastAsia="Times New Roman" w:hAnsi="Cambria" w:cs="Times New Roman"/>
          <w:lang w:val="bs-Latn-BA"/>
        </w:rPr>
        <w:lastRenderedPageBreak/>
        <w:t>izvještavanje o primjeni Gender akcionog plana Tuzlanskog kantona, te su definisani ciljevi i aktivnosti koje je bilo potrebno realizirati u narednom periodu.</w:t>
      </w:r>
    </w:p>
    <w:p w:rsidR="004F32B1" w:rsidRPr="00033459" w:rsidRDefault="004F32B1"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periodu od 6. do 8. aprila 2022. godine, na poziv Gender centra Federacije BiH, predstavnici Koordinacionog tijela su prisustvovali dvodnevnoj radionici na Igmanu. Radionica je imala za cilj jačanje kapaciteta članova tijela i razmjenu iskustava u vezi s implementacijom mjera Gender akcionog plana za 2022. godinu. Poseban fokus bio je na izradi obrazaca za praćenje aktivnosti, kao i inovacijama u oblasti promocije rodne ravnopravnosti. Učesnici radionice bili su članovi i članice Koordinacionog tijela, predstavnici UN Women kancelarije u Sarajevu, predstavnici nevladinog sektora, kao i ekspert za ravnopravnost spolova. Tokom radionice predstavljeni su moduli koji su se odnosili na međunarodni i domaći zakonodavni okvir u oblasti ravnopravnosti spolova i antidiskriminacije, zakonske obaveze institucija po Zakonu o ravnopravnosti spolova BiH, Gender akcionom planu BiH, te finansijskom okviru IPA fondova Evropske unije. Na osnovu prezentiranih informacija doneseni su određeni zaključci, među kojima se posebno ističe da je rodna ravnopravnost jedna od četiri ključne vrijednosti za prihvaćanje projekata iz IPA fondova. Također su donesene preporuke u vezi s daljim funkcionisanjem i praćenjem aktivnosti mjera kroz procjenu utjecaja u narednom periodu implementacije. Ove aktivnosti predstavljale su početne korake u procesu uvođenja rodne komponente u javni sektor Tuzlanskog kantona.</w:t>
      </w:r>
    </w:p>
    <w:p w:rsidR="004F32B1" w:rsidRPr="00033459" w:rsidRDefault="004F32B1"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julu 2023. godine, predstavnici Koordinacionog tijela su prisustvovali sastanku održanom u Gender centru Federacije BiH, koji je bio usmjeren na evaluaciju saradnje u dosadašnjem periodu. Tokom sastanka razmatrani su oblici podrške koju je Gender centar Federacije BiH pružio resornim ministarstvima, upravama, organizacijama, privrednim subjektima i akademskoj zajednici u provedbi Gender akcionog plana, kao i u realizaciji aktivnosti iz Operativnog plana 2018–2022. godine. Ocijenjen je ukupni proces saradnje, postignuti rezultati, sistemska rješenja, budžetski aspekti, provedene politike i edukacije, te općenito jačanje kapaciteta.</w:t>
      </w:r>
    </w:p>
    <w:p w:rsidR="004F32B1" w:rsidRPr="00033459" w:rsidRDefault="004F32B1"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novembru 2023. godine, Koordinaciono tijelo je prisustvovalo sastanku na temu jačanja međuinstitucionalne saradnje u implementaciji Gender akcionog plana i drugih dokumenata iz oblasti rodne ravnopravnosti u Tuzlanskom kantonu. Sastanak je održan uz podršku Misije OSCE-a u Bosni i Hercegovini. Cilj sastanka bio je podsticanje aktivnog i koordiniranog uključivanja svih relevantnih institucija u provedbu Gender akcionog plana Vlade Tuzlanskog kantona za period 2021–2024, kao i jačanje saradnje između institucija vlasti i nevladinih organizacija. Na sastanku je učestvovalo ukupno 20 učesnika iz različitih sektora, uključujući savjetnika Premijera TK, Komisiju za jednakopravnost spolova Skupštine TK, Službu Skupštine TK, predstavnike resornih ministarstava, nevladine organizacije i predstavnika OSCE-a.</w:t>
      </w:r>
    </w:p>
    <w:p w:rsidR="004F32B1" w:rsidRPr="00033459" w:rsidRDefault="004F32B1"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Uprkos navedenim aktivnostima, Koordinaciono tijelo je tokom rada uočilo da određeni članovi tijela ne izvršavaju zadatke definisane odlukom Vlade TK, odnosno ne odazivaju se na pozive za učešće u radu tijela. Zaključeno je da je nužno da Vlada TK bude upoznata s ovim izazovom, s ciljem osiguranja punog funkcionisanja tijela.</w:t>
      </w:r>
    </w:p>
    <w:p w:rsidR="004F32B1" w:rsidRPr="00033459" w:rsidRDefault="004F32B1" w:rsidP="002F596A">
      <w:pPr>
        <w:jc w:val="both"/>
        <w:rPr>
          <w:rFonts w:ascii="Cambria" w:eastAsia="Times New Roman" w:hAnsi="Cambria" w:cs="Times New Roman"/>
          <w:lang w:val="bs-Latn-BA"/>
        </w:rPr>
      </w:pPr>
      <w:r w:rsidRPr="00033459">
        <w:rPr>
          <w:rFonts w:ascii="Cambria" w:eastAsia="Times New Roman" w:hAnsi="Cambria" w:cs="Times New Roman"/>
          <w:lang w:val="bs-Latn-BA"/>
        </w:rPr>
        <w:t xml:space="preserve">Ministarstvo za rad, socijalnu politiku i povratak Tuzlanskog kantona, u saradnji sa Gender centrom Federacije BiH, organizovalo je 12. decembra 2024. godine sastanak Koordinacionog tijela radi daljnje implementacije Gender akcionog plana Tuzlanskog kantona za period 2021–2024. Na sastanku su članovi tijela iznijeli svoja mišljenja o izazovima u realizaciji predviđenih mjera, a predstavnici Gender centra Federacije BiH dali su savjete i preporuke u vezi daljeg praćenja i implementacije. Zaključeno je da će Gender centar Federacije BiH dostaviti Koordinacionom tijelu obrazac (urnek izvještaja) u Excel formatu, kako bi svaki član iz svog sektora mogao unijeti relevantne podatke. Ti podaci će se koristiti za izradu izvještaja o realizaciji mjera predviđenih Gender akcionim planom za 2024. godinu. Također je zaključeno da će se prije izrade završnog izvještaja organizovati zajednički sastanak radi dogovora o formi izvještaja, koji </w:t>
      </w:r>
      <w:r w:rsidRPr="00033459">
        <w:rPr>
          <w:rFonts w:ascii="Cambria" w:eastAsia="Times New Roman" w:hAnsi="Cambria" w:cs="Times New Roman"/>
          <w:lang w:val="bs-Latn-BA"/>
        </w:rPr>
        <w:lastRenderedPageBreak/>
        <w:t>treba poslužiti kao osnova za izradu novog Gender akcionog plana Tuzlanskog kantona za period 2024–2027. godine. Revidiranje Gender akcionog plana planirano je za maj 2025. godine, uz obavezno uvažavanje svih primjedbi sadržanih u Revizorskom izvještaju.</w:t>
      </w:r>
    </w:p>
    <w:p w:rsidR="004F32B1" w:rsidRPr="00033459" w:rsidRDefault="004F32B1" w:rsidP="002F596A">
      <w:pPr>
        <w:jc w:val="both"/>
        <w:rPr>
          <w:rFonts w:ascii="Cambria" w:eastAsia="Times New Roman" w:hAnsi="Cambria" w:cs="Times New Roman"/>
          <w:lang w:val="bs-Latn-BA"/>
        </w:rPr>
      </w:pPr>
    </w:p>
    <w:p w:rsidR="004F32B1" w:rsidRPr="00033459" w:rsidRDefault="004F32B1"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skladu sa nadležnostima definisanim Odlukom o osnivanju Koordinacionog tijela, tijelo je u 2024. godini izradilo Izvještaj o realizaciji Akcionog plana za 2023. godinu. Navedeni izvještaj je usvojen od strane Vlade Tuzlanskog kantona zaključkom broj 02/1-04-9651/24 od 30. aprila 2024. godine. Izvještaj o provođenju Gender akcionog plana TK za period od 1. januara do 31. decembra 2023. godine razmatran je i od strane Komisije za jednakopravnost spolova na sjednici održanoj 31. augusta 2024. godine.</w:t>
      </w:r>
    </w:p>
    <w:p w:rsidR="004F32B1" w:rsidRDefault="004F32B1" w:rsidP="002F596A">
      <w:pPr>
        <w:jc w:val="both"/>
        <w:rPr>
          <w:rFonts w:ascii="Cambria" w:eastAsia="Times New Roman" w:hAnsi="Cambria" w:cs="Times New Roman"/>
          <w:lang w:val="bs-Latn-BA"/>
        </w:rPr>
      </w:pPr>
      <w:r w:rsidRPr="00033459">
        <w:rPr>
          <w:rFonts w:ascii="Cambria" w:eastAsia="Times New Roman" w:hAnsi="Cambria" w:cs="Times New Roman"/>
          <w:lang w:val="bs-Latn-BA"/>
        </w:rPr>
        <w:t>Koordinaciono tijelo je tokom ovog perioda redovno prisustvovalo sjednicama Komisije za jednakopravnost spolova Skupštine Tuzlanskog kantona. Zajednički rad rezultirao je donošenjem Zaključka kojim se traži obezbjeđenje sredstava u Budžetu TK za aktivnosti u vezi s provedbom Gender akcionog plana. Koordinaciono tijelo je postupilo po navedenom Zaključku i podnijelo zahtjev za uvrštavanje sredstava u Budžet Tuzlanskog kantona, čime je po prvi put prepoznat značaj rodno osjetljivog budžetiranja, s obzirom na činjenicu da su brojni kantoni, gradovi i općine u Federaciji BiH već predvidjeli sredstva za provedbu Gender akcionih planova i rad koordinacionih tijela kao ključnih aktera u praćenju i izvještavanju o implementaciji mjera iz oblasti rodne ravnopravnosti.</w:t>
      </w:r>
    </w:p>
    <w:p w:rsidR="00E542BE" w:rsidRPr="00033459" w:rsidRDefault="00E542BE" w:rsidP="002F596A">
      <w:pPr>
        <w:jc w:val="both"/>
        <w:rPr>
          <w:rFonts w:ascii="Cambria" w:eastAsia="Times New Roman" w:hAnsi="Cambria" w:cs="Times New Roman"/>
          <w:lang w:val="bs-Latn-BA"/>
        </w:rPr>
      </w:pPr>
    </w:p>
    <w:p w:rsidR="004F32B1" w:rsidRPr="00033459" w:rsidRDefault="004F32B1" w:rsidP="002F596A">
      <w:pPr>
        <w:pStyle w:val="Heading2"/>
      </w:pPr>
      <w:bookmarkStart w:id="10" w:name="_Toc195186403"/>
      <w:r w:rsidRPr="00033459">
        <w:t>1.3. Uspostavljeni instrumenti za redovnu procjenu uticaja propisa na ravnopravnost spolova</w:t>
      </w:r>
      <w:bookmarkEnd w:id="10"/>
    </w:p>
    <w:p w:rsidR="004F32B1" w:rsidRPr="00033459" w:rsidRDefault="004F32B1" w:rsidP="002F596A">
      <w:pPr>
        <w:pBdr>
          <w:top w:val="nil"/>
          <w:left w:val="nil"/>
          <w:bottom w:val="nil"/>
          <w:right w:val="nil"/>
          <w:between w:val="nil"/>
        </w:pBdr>
        <w:jc w:val="both"/>
        <w:rPr>
          <w:rFonts w:ascii="Cambria" w:eastAsia="Times New Roman" w:hAnsi="Cambria" w:cs="Times New Roman"/>
          <w:b/>
          <w:lang w:val="bs-Latn-BA"/>
        </w:rPr>
      </w:pPr>
      <w:r w:rsidRPr="00033459">
        <w:rPr>
          <w:rFonts w:ascii="Cambria" w:eastAsia="Times New Roman" w:hAnsi="Cambria" w:cs="Times New Roman"/>
          <w:b/>
          <w:lang w:val="bs-Latn-BA"/>
        </w:rPr>
        <w:t xml:space="preserve">Procjena uticaja pravnih propisa na rodnu ravnopravnost - </w:t>
      </w:r>
      <w:r w:rsidRPr="00033459">
        <w:rPr>
          <w:rFonts w:ascii="Cambria" w:eastAsia="Times New Roman" w:hAnsi="Cambria" w:cs="Times New Roman"/>
          <w:lang w:val="bs-Latn-BA"/>
        </w:rPr>
        <w:t xml:space="preserve">mjera za koju je kao nosilac aktivnosti navedeni </w:t>
      </w:r>
      <w:r w:rsidR="00E542BE" w:rsidRPr="00033459">
        <w:rPr>
          <w:rFonts w:ascii="Cambria" w:eastAsia="Times New Roman" w:hAnsi="Cambria" w:cs="Times New Roman"/>
          <w:lang w:val="bs-Latn-BA"/>
        </w:rPr>
        <w:t>Ministarstvo</w:t>
      </w:r>
      <w:r w:rsidRPr="00033459">
        <w:rPr>
          <w:rFonts w:ascii="Cambria" w:eastAsia="Times New Roman" w:hAnsi="Cambria" w:cs="Times New Roman"/>
          <w:lang w:val="bs-Latn-BA"/>
        </w:rPr>
        <w:t xml:space="preserve"> pravosuđa i uprave i Ured za zakonodavstvo. Potrebna je ekspertska podrška odnosno obuka za relevantne službenike kako procijeniti uticaj pravih dokumenta na rodnu ravnopravnost, koju metodologiju primijeniti i ko je sve dužan da to primjenjuje.</w:t>
      </w:r>
      <w:r w:rsidRPr="00033459">
        <w:rPr>
          <w:rFonts w:ascii="Cambria" w:eastAsia="Times New Roman" w:hAnsi="Cambria" w:cs="Times New Roman"/>
          <w:b/>
          <w:lang w:val="bs-Latn-BA"/>
        </w:rPr>
        <w:t xml:space="preserve"> </w:t>
      </w:r>
    </w:p>
    <w:p w:rsidR="004F32B1" w:rsidRPr="00033459" w:rsidRDefault="004F32B1" w:rsidP="002F596A">
      <w:pPr>
        <w:jc w:val="both"/>
        <w:rPr>
          <w:rFonts w:ascii="Cambria" w:hAnsi="Cambria"/>
          <w:lang w:val="bs-Latn-BA"/>
        </w:rPr>
      </w:pPr>
    </w:p>
    <w:p w:rsidR="004F32B1" w:rsidRPr="00033459" w:rsidRDefault="004F32B1" w:rsidP="002F596A">
      <w:pPr>
        <w:pStyle w:val="Heading2"/>
      </w:pPr>
      <w:bookmarkStart w:id="11" w:name="_Toc195186404"/>
      <w:r w:rsidRPr="00033459">
        <w:t>1.4. Provedene sektorske analize mogućnosti za unapređenje stanja ravnopravnosti spolova u prioritetnim oblastima</w:t>
      </w:r>
      <w:bookmarkEnd w:id="11"/>
    </w:p>
    <w:p w:rsidR="002F596A" w:rsidRPr="00033459" w:rsidRDefault="004F32B1" w:rsidP="002F596A">
      <w:pPr>
        <w:pStyle w:val="Heading2"/>
        <w:rPr>
          <w:color w:val="auto"/>
        </w:rPr>
      </w:pPr>
      <w:bookmarkStart w:id="12" w:name="_heading=h.3dy6vkm" w:colFirst="0" w:colLast="0"/>
      <w:bookmarkStart w:id="13" w:name="_Toc195186405"/>
      <w:bookmarkEnd w:id="12"/>
      <w:r w:rsidRPr="00033459">
        <w:t>1.5. Budžet sadrži procjenu uticaja na ravnopravnost spolova (rodno-odgovorno budžetiranje)</w:t>
      </w:r>
      <w:bookmarkStart w:id="14" w:name="_heading=h.k9c3rg86t9ep" w:colFirst="0" w:colLast="0"/>
      <w:bookmarkEnd w:id="13"/>
      <w:bookmarkEnd w:id="14"/>
      <w:r w:rsidRPr="00033459">
        <w:rPr>
          <w:color w:val="auto"/>
        </w:rPr>
        <w:t xml:space="preserve"> </w:t>
      </w:r>
    </w:p>
    <w:p w:rsidR="004F32B1" w:rsidRPr="00033459" w:rsidRDefault="004F32B1"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Rodno odgovorno budžetiranje, kao integralni dio programskog budžetiranja, planirano je da bude u primjeni od 2024. godine. U tom kontekstu, edukacija službenika koji se bave planiranjem budžeta u institucijama Tuzlanskog kantona smatra se neophodnom. Kao nosilac odgovornosti u dijelu koji se odnosi na obezbjeđenje sredstava i definisanje obaveze rodno odgovornog budžetiranja u zakonskim okvirima, određen je Ministarstvo finansija Tuzlanskog kantona.</w:t>
      </w:r>
    </w:p>
    <w:p w:rsidR="004F32B1" w:rsidRPr="00033459" w:rsidRDefault="004F32B1"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S obzirom na to da je Gender akcioni plan usvojen za period 2021–2024. godina, ova mjera predstavlja ključni preduslov za uspješnu realizaciju ostalih mjera definisanih u okviru plana, te se u trenutnom kontekstu ocjenjuje kao vjerovatno najvažnija. Koordinacioni odbor za praćenje implementacije Gender akcionog plana zauzeo je stav da je potrebno jasno definisati sve korake i subjekte odgovorne za realizaciju ove mjere, s obzirom da u njenoj provedbi, osim Ministarstva finansija, učestvuju i drugi organi uprave. Posebnu pažnju potrebno je posvetiti definisanju potrošačkog mjesta na kojem će se planirati sredstva za izvršenje poslova Koordinacionog tijela,</w:t>
      </w:r>
      <w:r w:rsidR="00E0089A">
        <w:rPr>
          <w:rFonts w:ascii="Cambria" w:hAnsi="Cambria"/>
          <w:sz w:val="22"/>
          <w:szCs w:val="22"/>
          <w:lang w:val="bs-Latn-BA"/>
        </w:rPr>
        <w:t xml:space="preserve"> </w:t>
      </w:r>
      <w:r w:rsidRPr="00033459">
        <w:rPr>
          <w:rFonts w:ascii="Cambria" w:hAnsi="Cambria"/>
          <w:sz w:val="22"/>
          <w:szCs w:val="22"/>
          <w:lang w:val="bs-Latn-BA"/>
        </w:rPr>
        <w:lastRenderedPageBreak/>
        <w:t>kao i ukupna sredstva potrebna za realizaciju programa predviđenih Gender akcionim planom, budući da se radi o tijelu koje je imenovala Vlada Tuzlanskog kantona.</w:t>
      </w:r>
    </w:p>
    <w:p w:rsidR="004F32B1" w:rsidRPr="00033459" w:rsidRDefault="004F32B1"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Koordinacioni odbor je predložio da se za 2024. godinu sredstva za rad tijela planiraju na potrošačkom mjestu Vlade Tuzlanskog kantona ili Ministarstva za rad, socijalnu politiku i povratak, koje je nosilac i koordinator u sprovođenju politike rodne ravnopravnosti. U skladu s tim, upućen je zahtjev za planiranje budžetskih sredstava kako bi se u 2024. godini omogućilo finansiranje rada Koordinacionog odbora, uključujući troškove edukacija i aktivnosti vezanih za provođenje Gender akcionog plana. Imajući u vidu da je način finansiranja radnih tijela Vlade već regulisan, kao i da postoji praksa budžetskog finansiranja takvih tijela u drugim kantonima, postoje svi zakonski i tehnički uslovi za planiranje i odobravanje ovih sredstava u Budžetu Tuzlanskog kantona.</w:t>
      </w:r>
    </w:p>
    <w:p w:rsidR="004F32B1" w:rsidRPr="00033459" w:rsidRDefault="004F32B1"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 xml:space="preserve">Uvođenjem ovog modela prepoznaje se značaj rada Koordinacionog tijela u smislu implementacije gender senzitivnog budžetiranja, što bi ujedno predstavljalo početni korak u njegovoj institucionalizaciji u Tuzlanskom kantonu. Do momenta uvođenja programa koji eksplicitno obuhvata rodno odgovorno budžetiranje, ovo tijelo bi nastavilo sa radom na postojećim programima i zadacima predviđenim Gender akcionim planom za period 2021–2024. godina. </w:t>
      </w:r>
    </w:p>
    <w:p w:rsidR="004F32B1" w:rsidRPr="00033459" w:rsidRDefault="004F32B1"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Kontinuitet u jačanju kapaciteta Koordinacionog tijela nastavljen je i u 2024. godini. Pored aktivnosti na izradi i prezentaciji izvještaja nadležnim institucijama, članovi Koordinacionog tijela su učestvovali u edukacijama, radionicama i redovnim sastancima tijela. Posebno je važno istaknuti da je krajem 2023. godine Komisija za jednakopravnost spolova od Koordinacionog tijela zatražila informaciju o realiziranim aktivnostima u 2023. godini, na što je Koordinaciono tijelo odgovorilo dostavljanjem informacije akt broj: 09/1-04-33301/23 od 22.12.2023. godine.</w:t>
      </w:r>
    </w:p>
    <w:p w:rsidR="004F32B1" w:rsidRPr="00033459" w:rsidRDefault="004F32B1"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Komisija je na sjednici održanoj 30.01.2024. godine razmatrala dostavljenu informaciju i donijela zaključak kojim se daje podrška budžetskom zahtjevu Koordinacionog tijela za osiguranje sredstava u Budžetu Tuzlanskog kantona za 2024. godinu. Zaključak se odnosi na potrebu obezbjeđenja finansijskih sredstava za edukaciju osoba koje su zadužene za implementaciju Gender akcionog plana, kao i za rad članova Koordinacionog tijela.</w:t>
      </w:r>
    </w:p>
    <w:p w:rsidR="004F32B1" w:rsidRPr="00033459" w:rsidRDefault="004F32B1"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U okviru aktivnosti u vezi edukacije, Koordinacioni tim je 5. juna 2024. godine prisustvovao radionici na temu „Implementacija rodno odgovornog budžetiranja u Bosni i Hercegovini – izazovi i podrška“, koja je održana u Tuzli. Radionicu je organizovala Komisija za jednakopravnost spolova Tuzlanskog kantona uz podršku Misije OSCE-a u Bosni i Hercegovini, a sa ciljem promocije i podrške provođenju Gender akcionog plana i drugih dokumenata iz oblasti ravnopravnosti spolova. Fokus radionice bio je na jačanju kapaciteta institucija Tuzlanskog kantona za uvođenje rodno odgovornog pristupa u proces planiranja i donošenja budžeta, kao ključnog segmenta programskog budžetiranja.</w:t>
      </w:r>
    </w:p>
    <w:p w:rsidR="004F32B1" w:rsidRPr="00033459" w:rsidRDefault="004F32B1"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Radionicu je vodio gospodin Elvis Bebaković, šef Odsjeka za pripremu i izradu Budžeta Ministarstva finansija Federacije Bosne i Hercegovine. Učesnici su imali priliku da se detaljno upoznaju sa pravnim okvirom koji reguliše ovu oblast, obavezama institucija, kao i konkretnim primjerima iz prakse u vezi s rodno odgovornim budžetiranjem.</w:t>
      </w:r>
    </w:p>
    <w:p w:rsidR="00E257D2" w:rsidRPr="00E257D2" w:rsidRDefault="00E257D2" w:rsidP="002F596A">
      <w:pPr>
        <w:spacing w:line="240" w:lineRule="auto"/>
        <w:jc w:val="both"/>
        <w:rPr>
          <w:rFonts w:ascii="Cambria" w:eastAsia="Times New Roman" w:hAnsi="Cambria" w:cs="Times New Roman"/>
          <w:lang w:val="bs-Latn-BA" w:eastAsia="en-GB"/>
        </w:rPr>
      </w:pPr>
      <w:r w:rsidRPr="00E257D2">
        <w:rPr>
          <w:rFonts w:ascii="Cambria" w:eastAsia="Times New Roman" w:hAnsi="Cambria" w:cs="Times New Roman"/>
          <w:lang w:val="bs-Latn-BA" w:eastAsia="en-GB"/>
        </w:rPr>
        <w:t>Ministarstvo finansija je postupalo u skladu sa načelom rodno odgovornog budžetiranja kao horizontalnim principom koji se primjenjuje prilikom kreiranja programa budžetskih korisnika i pripreme kantonalnog budžeta.</w:t>
      </w:r>
    </w:p>
    <w:p w:rsidR="00E257D2" w:rsidRPr="00E257D2" w:rsidRDefault="00E257D2" w:rsidP="002F596A">
      <w:pPr>
        <w:spacing w:line="240" w:lineRule="auto"/>
        <w:jc w:val="both"/>
        <w:rPr>
          <w:rFonts w:ascii="Cambria" w:eastAsia="Times New Roman" w:hAnsi="Cambria" w:cs="Times New Roman"/>
          <w:lang w:val="bs-Latn-BA" w:eastAsia="en-GB"/>
        </w:rPr>
      </w:pPr>
      <w:r w:rsidRPr="00E257D2">
        <w:rPr>
          <w:rFonts w:ascii="Cambria" w:eastAsia="Times New Roman" w:hAnsi="Cambria" w:cs="Times New Roman"/>
          <w:lang w:val="bs-Latn-BA" w:eastAsia="en-GB"/>
        </w:rPr>
        <w:t>Budžetom Tuzlanskog kantona za 2024. godinu predviđena su budžetska sredstva za određene programe koji uključuju i dimenziju rodne ravnopravnosti, u skladu sa nadležnostima i djelokrugom rada pojedinih budžetskih korisnika, gdje je to bilo primjenjivo. Navedeni aspekti su tekstualno obrazloženi unutar budžetskih dokumenata. Također, Budžetom Tuzlanskog kantona za 2025. godinu sadržani su programi koji uključuju aspekt rodne ravnopravnosti, tamo gdje je to bilo moguće.</w:t>
      </w:r>
    </w:p>
    <w:p w:rsidR="00E257D2" w:rsidRPr="00E257D2" w:rsidRDefault="00E257D2" w:rsidP="002F596A">
      <w:pPr>
        <w:spacing w:line="240" w:lineRule="auto"/>
        <w:jc w:val="both"/>
        <w:rPr>
          <w:rFonts w:ascii="Cambria" w:eastAsia="Times New Roman" w:hAnsi="Cambria" w:cs="Times New Roman"/>
          <w:lang w:val="bs-Latn-BA" w:eastAsia="en-GB"/>
        </w:rPr>
      </w:pPr>
      <w:r w:rsidRPr="00E257D2">
        <w:rPr>
          <w:rFonts w:ascii="Cambria" w:eastAsia="Times New Roman" w:hAnsi="Cambria" w:cs="Times New Roman"/>
          <w:lang w:val="bs-Latn-BA" w:eastAsia="en-GB"/>
        </w:rPr>
        <w:lastRenderedPageBreak/>
        <w:t>Ministarstvo finansija planira da u narednom periodu, u okviru redovnog budžetskog procesa, a prilikom dostavljanja Instrukcija broj 1 i broj 2 budžetskim korisnicima, jasno definiše obavezu dostavljanja podataka koji se odnose na primjenu ili mogućnost primjene principa rodne ravnopravnosti. Budžetski korisnici će biti pozvani da, uz obrazloženja svojih budžetskih zahtjeva, dostave i procjenu uticaja svojih programa na ravnopravnost spolova.</w:t>
      </w:r>
    </w:p>
    <w:p w:rsidR="00E257D2" w:rsidRPr="00E257D2" w:rsidRDefault="00E257D2" w:rsidP="002F596A">
      <w:pPr>
        <w:spacing w:line="240" w:lineRule="auto"/>
        <w:jc w:val="both"/>
        <w:rPr>
          <w:rFonts w:ascii="Cambria" w:eastAsia="Times New Roman" w:hAnsi="Cambria" w:cs="Times New Roman"/>
          <w:lang w:val="bs-Latn-BA" w:eastAsia="en-GB"/>
        </w:rPr>
      </w:pPr>
      <w:r w:rsidRPr="00E257D2">
        <w:rPr>
          <w:rFonts w:ascii="Cambria" w:eastAsia="Times New Roman" w:hAnsi="Cambria" w:cs="Times New Roman"/>
          <w:lang w:val="bs-Latn-BA" w:eastAsia="en-GB"/>
        </w:rPr>
        <w:t>Međutim, neophodno je napomenuti da se u Federaciji Bosne i Hercegovine još uvijek usvajaju budžeti koji su strukturirani prema linijskom (klasičnom) modelu, bez potpune operacionalizacije programskog budžetiranja. Budžetski korisnici stoga još uvijek ne izrađuju budžetske zahtjeve u programskom formatu, što predstavlja tehnički preduslov za punu primjenu rodno odgovornog budžetiranja.</w:t>
      </w:r>
    </w:p>
    <w:p w:rsidR="00E257D2" w:rsidRPr="00E257D2" w:rsidRDefault="00E257D2" w:rsidP="002F596A">
      <w:pPr>
        <w:spacing w:line="240" w:lineRule="auto"/>
        <w:jc w:val="both"/>
        <w:rPr>
          <w:rFonts w:ascii="Cambria" w:eastAsia="Times New Roman" w:hAnsi="Cambria" w:cs="Times New Roman"/>
          <w:lang w:val="bs-Latn-BA" w:eastAsia="en-GB"/>
        </w:rPr>
      </w:pPr>
      <w:r w:rsidRPr="00E257D2">
        <w:rPr>
          <w:rFonts w:ascii="Cambria" w:eastAsia="Times New Roman" w:hAnsi="Cambria" w:cs="Times New Roman"/>
          <w:lang w:val="bs-Latn-BA" w:eastAsia="en-GB"/>
        </w:rPr>
        <w:t>U skladu sa Zakonom o budžetima Federacije BiH, implementacija programskog budžetiranja planirana je postupno, i to:</w:t>
      </w:r>
    </w:p>
    <w:p w:rsidR="00E257D2" w:rsidRPr="00E257D2" w:rsidRDefault="00E257D2" w:rsidP="00E542BE">
      <w:pPr>
        <w:numPr>
          <w:ilvl w:val="0"/>
          <w:numId w:val="14"/>
        </w:numPr>
        <w:spacing w:after="0" w:line="240" w:lineRule="auto"/>
        <w:jc w:val="both"/>
        <w:rPr>
          <w:rFonts w:ascii="Cambria" w:eastAsia="Times New Roman" w:hAnsi="Cambria" w:cs="Times New Roman"/>
          <w:lang w:val="bs-Latn-BA" w:eastAsia="en-GB"/>
        </w:rPr>
      </w:pPr>
      <w:r w:rsidRPr="00E257D2">
        <w:rPr>
          <w:rFonts w:ascii="Cambria" w:eastAsia="Times New Roman" w:hAnsi="Cambria" w:cs="Times New Roman"/>
          <w:lang w:val="bs-Latn-BA" w:eastAsia="en-GB"/>
        </w:rPr>
        <w:t>Od budžetskog ciklusa za 2026. godinu za nivo Federacije BiH i vanbudžetske fondove na tom nivou,</w:t>
      </w:r>
    </w:p>
    <w:p w:rsidR="00E257D2" w:rsidRPr="00E257D2" w:rsidRDefault="00E257D2" w:rsidP="00E542BE">
      <w:pPr>
        <w:numPr>
          <w:ilvl w:val="0"/>
          <w:numId w:val="14"/>
        </w:numPr>
        <w:spacing w:after="0" w:line="240" w:lineRule="auto"/>
        <w:jc w:val="both"/>
        <w:rPr>
          <w:rFonts w:ascii="Cambria" w:eastAsia="Times New Roman" w:hAnsi="Cambria" w:cs="Times New Roman"/>
          <w:lang w:val="bs-Latn-BA" w:eastAsia="en-GB"/>
        </w:rPr>
      </w:pPr>
      <w:r w:rsidRPr="00E257D2">
        <w:rPr>
          <w:rFonts w:ascii="Cambria" w:eastAsia="Times New Roman" w:hAnsi="Cambria" w:cs="Times New Roman"/>
          <w:lang w:val="bs-Latn-BA" w:eastAsia="en-GB"/>
        </w:rPr>
        <w:t>Od budžetskog ciklusa za 2028. godinu za nivo kantona i vanbudžetske fondove na nivou kantona.</w:t>
      </w:r>
    </w:p>
    <w:p w:rsidR="00E257D2" w:rsidRPr="00E257D2" w:rsidRDefault="00E257D2" w:rsidP="002F596A">
      <w:pPr>
        <w:spacing w:line="240" w:lineRule="auto"/>
        <w:jc w:val="both"/>
        <w:rPr>
          <w:rFonts w:ascii="Cambria" w:eastAsia="Times New Roman" w:hAnsi="Cambria" w:cs="Times New Roman"/>
          <w:lang w:val="bs-Latn-BA" w:eastAsia="en-GB"/>
        </w:rPr>
      </w:pPr>
      <w:r w:rsidRPr="00E257D2">
        <w:rPr>
          <w:rFonts w:ascii="Cambria" w:eastAsia="Times New Roman" w:hAnsi="Cambria" w:cs="Times New Roman"/>
          <w:lang w:val="bs-Latn-BA" w:eastAsia="en-GB"/>
        </w:rPr>
        <w:t>Tek primjenom programskog budžetiranja stvoriće se tehnički uslovi za punu implementaciju rodno odgovornog budžetiranja.</w:t>
      </w:r>
    </w:p>
    <w:p w:rsidR="00993B1F" w:rsidRPr="00033459" w:rsidRDefault="00993B1F" w:rsidP="002F596A">
      <w:pPr>
        <w:jc w:val="both"/>
        <w:rPr>
          <w:rFonts w:ascii="Cambria" w:hAnsi="Cambria"/>
          <w:lang w:val="bs-Latn-BA"/>
        </w:rPr>
      </w:pPr>
    </w:p>
    <w:p w:rsidR="00E542BE" w:rsidRDefault="00E542BE" w:rsidP="00E542BE">
      <w:pPr>
        <w:rPr>
          <w:lang w:val="bs-Latn-BA"/>
        </w:rPr>
      </w:pPr>
      <w:bookmarkStart w:id="15" w:name="_heading=h.1t3h5sf" w:colFirst="0" w:colLast="0"/>
      <w:bookmarkStart w:id="16" w:name="_Toc195186406"/>
      <w:bookmarkEnd w:id="15"/>
    </w:p>
    <w:p w:rsidR="00E542BE" w:rsidRDefault="00E542BE">
      <w:pPr>
        <w:rPr>
          <w:rFonts w:ascii="Cambria" w:eastAsia="Times New Roman" w:hAnsi="Cambria" w:cs="Times New Roman"/>
          <w:b/>
          <w:bCs/>
          <w:color w:val="1F4E79" w:themeColor="accent1" w:themeShade="80"/>
          <w:lang w:val="bs-Latn-BA"/>
        </w:rPr>
      </w:pPr>
      <w:r>
        <w:rPr>
          <w:lang w:val="bs-Latn-BA"/>
        </w:rPr>
        <w:br w:type="page"/>
      </w:r>
    </w:p>
    <w:p w:rsidR="00E542BE" w:rsidRDefault="00E542BE" w:rsidP="00E542BE">
      <w:pPr>
        <w:rPr>
          <w:lang w:val="bs-Latn-BA"/>
        </w:rPr>
      </w:pPr>
    </w:p>
    <w:p w:rsidR="00993B1F" w:rsidRPr="00E0089A" w:rsidRDefault="00E0089A" w:rsidP="00E0089A">
      <w:pPr>
        <w:rPr>
          <w:rFonts w:ascii="Cambria" w:eastAsia="Times New Roman" w:hAnsi="Cambria" w:cs="Times New Roman"/>
          <w:b/>
          <w:bCs/>
          <w:color w:val="1F4E79" w:themeColor="accent1" w:themeShade="80"/>
          <w:lang w:val="bs-Latn-BA"/>
        </w:rPr>
      </w:pPr>
      <w:r w:rsidRPr="00E0089A">
        <w:rPr>
          <w:rFonts w:ascii="Cambria" w:hAnsi="Cambria"/>
          <w:b/>
          <w:lang w:val="bs-Latn-BA"/>
        </w:rPr>
        <w:t xml:space="preserve">2. </w:t>
      </w:r>
      <w:r w:rsidR="00942562" w:rsidRPr="00E0089A">
        <w:rPr>
          <w:rFonts w:ascii="Cambria" w:hAnsi="Cambria"/>
          <w:b/>
          <w:color w:val="1F4E79" w:themeColor="accent1" w:themeShade="80"/>
          <w:lang w:val="bs-Latn-BA"/>
        </w:rPr>
        <w:t xml:space="preserve"> SREDNJERO</w:t>
      </w:r>
      <w:r w:rsidR="00942562" w:rsidRPr="00E0089A">
        <w:rPr>
          <w:rFonts w:ascii="Cambria" w:hAnsi="Cambria" w:cs="Cambria"/>
          <w:b/>
          <w:color w:val="1F4E79" w:themeColor="accent1" w:themeShade="80"/>
          <w:lang w:val="bs-Latn-BA"/>
        </w:rPr>
        <w:t>Č</w:t>
      </w:r>
      <w:r w:rsidR="00942562" w:rsidRPr="00E0089A">
        <w:rPr>
          <w:rFonts w:ascii="Cambria" w:hAnsi="Cambria"/>
          <w:b/>
          <w:color w:val="1F4E79" w:themeColor="accent1" w:themeShade="80"/>
          <w:lang w:val="bs-Latn-BA"/>
        </w:rPr>
        <w:t>NI CILJ 2- UNAPRE</w:t>
      </w:r>
      <w:r w:rsidR="00942562" w:rsidRPr="00E0089A">
        <w:rPr>
          <w:rFonts w:ascii="Cambria" w:hAnsi="Cambria" w:cs="Cambria"/>
          <w:b/>
          <w:color w:val="1F4E79" w:themeColor="accent1" w:themeShade="80"/>
          <w:lang w:val="bs-Latn-BA"/>
        </w:rPr>
        <w:t>Đ</w:t>
      </w:r>
      <w:r w:rsidR="00942562" w:rsidRPr="00E0089A">
        <w:rPr>
          <w:rFonts w:ascii="Cambria" w:hAnsi="Cambria"/>
          <w:b/>
          <w:color w:val="1F4E79" w:themeColor="accent1" w:themeShade="80"/>
          <w:lang w:val="bs-Latn-BA"/>
        </w:rPr>
        <w:t>ENO JE STANJE RAVNOPRAVNOSTI SPOLOVA NA PODRU</w:t>
      </w:r>
      <w:r w:rsidR="00942562" w:rsidRPr="00E0089A">
        <w:rPr>
          <w:rFonts w:ascii="Cambria" w:hAnsi="Cambria" w:cs="Cambria"/>
          <w:b/>
          <w:color w:val="1F4E79" w:themeColor="accent1" w:themeShade="80"/>
          <w:lang w:val="bs-Latn-BA"/>
        </w:rPr>
        <w:t>Č</w:t>
      </w:r>
      <w:r w:rsidR="00942562" w:rsidRPr="00E0089A">
        <w:rPr>
          <w:rFonts w:ascii="Cambria" w:hAnsi="Cambria"/>
          <w:b/>
          <w:color w:val="1F4E79" w:themeColor="accent1" w:themeShade="80"/>
          <w:lang w:val="bs-Latn-BA"/>
        </w:rPr>
        <w:t>JU TK</w:t>
      </w:r>
      <w:bookmarkEnd w:id="16"/>
    </w:p>
    <w:p w:rsidR="00993B1F" w:rsidRPr="00033459" w:rsidRDefault="00942562" w:rsidP="002F596A">
      <w:pPr>
        <w:pStyle w:val="Heading2"/>
      </w:pPr>
      <w:bookmarkStart w:id="17" w:name="_heading=h.4d34og8" w:colFirst="0" w:colLast="0"/>
      <w:bookmarkStart w:id="18" w:name="_Toc195186407"/>
      <w:bookmarkEnd w:id="17"/>
      <w:r w:rsidRPr="00033459">
        <w:t>2.1. Obrazovni sektor doprinosi ravnopravnosti spolova</w:t>
      </w:r>
      <w:bookmarkEnd w:id="18"/>
    </w:p>
    <w:p w:rsidR="00993B1F" w:rsidRPr="00033459" w:rsidRDefault="00993B1F" w:rsidP="002F596A">
      <w:pPr>
        <w:widowControl w:val="0"/>
        <w:pBdr>
          <w:top w:val="nil"/>
          <w:left w:val="nil"/>
          <w:bottom w:val="nil"/>
          <w:right w:val="nil"/>
          <w:between w:val="nil"/>
        </w:pBdr>
        <w:tabs>
          <w:tab w:val="left" w:pos="5103"/>
        </w:tabs>
        <w:spacing w:line="276" w:lineRule="auto"/>
        <w:ind w:right="4"/>
        <w:jc w:val="both"/>
        <w:rPr>
          <w:rFonts w:ascii="Cambria" w:eastAsia="Times New Roman" w:hAnsi="Cambria" w:cs="Times New Roman"/>
          <w:lang w:val="bs-Latn-BA"/>
        </w:rPr>
      </w:pPr>
    </w:p>
    <w:p w:rsidR="00993B1F" w:rsidRPr="00033459" w:rsidRDefault="00942562" w:rsidP="002F596A">
      <w:pPr>
        <w:widowControl w:val="0"/>
        <w:pBdr>
          <w:top w:val="nil"/>
          <w:left w:val="nil"/>
          <w:bottom w:val="nil"/>
          <w:right w:val="nil"/>
          <w:between w:val="nil"/>
        </w:pBdr>
        <w:tabs>
          <w:tab w:val="left" w:pos="5103"/>
        </w:tabs>
        <w:spacing w:line="276" w:lineRule="auto"/>
        <w:ind w:left="100" w:right="4"/>
        <w:jc w:val="both"/>
        <w:rPr>
          <w:rFonts w:ascii="Cambria" w:eastAsia="Times New Roman" w:hAnsi="Cambria" w:cs="Times New Roman"/>
          <w:lang w:val="bs-Latn-BA"/>
        </w:rPr>
      </w:pPr>
      <w:r w:rsidRPr="00033459">
        <w:rPr>
          <w:rFonts w:ascii="Cambria" w:eastAsia="Times New Roman" w:hAnsi="Cambria" w:cs="Times New Roman"/>
          <w:lang w:val="bs-Latn-BA"/>
        </w:rPr>
        <w:t>Obrazovanje je jedan od najvažnijih uslova za postizanje ravnopravnosti spolova, a posebno u vremenu kada postoji potreba za kontinuiranim obrazovanjem i stručnim usavršavanjem nezavisno od dobi (cjeloživotno učenje).</w:t>
      </w:r>
    </w:p>
    <w:p w:rsidR="00E257D2" w:rsidRPr="00033459" w:rsidRDefault="00E257D2" w:rsidP="002F596A">
      <w:pPr>
        <w:widowControl w:val="0"/>
        <w:pBdr>
          <w:top w:val="nil"/>
          <w:left w:val="nil"/>
          <w:bottom w:val="nil"/>
          <w:right w:val="nil"/>
          <w:between w:val="nil"/>
        </w:pBdr>
        <w:tabs>
          <w:tab w:val="left" w:pos="5103"/>
        </w:tabs>
        <w:spacing w:line="276" w:lineRule="auto"/>
        <w:ind w:left="100" w:right="4"/>
        <w:jc w:val="both"/>
        <w:rPr>
          <w:rFonts w:ascii="Cambria" w:eastAsia="Times New Roman" w:hAnsi="Cambria" w:cs="Times New Roman"/>
          <w:lang w:val="bs-Latn-BA"/>
        </w:rPr>
      </w:pPr>
    </w:p>
    <w:p w:rsidR="00993B1F" w:rsidRPr="00033459" w:rsidRDefault="00942562" w:rsidP="002F596A">
      <w:pPr>
        <w:widowControl w:val="0"/>
        <w:pBdr>
          <w:top w:val="nil"/>
          <w:left w:val="nil"/>
          <w:bottom w:val="nil"/>
          <w:right w:val="nil"/>
          <w:between w:val="nil"/>
        </w:pBdr>
        <w:tabs>
          <w:tab w:val="left" w:pos="5103"/>
        </w:tabs>
        <w:spacing w:line="276" w:lineRule="auto"/>
        <w:ind w:left="100" w:right="4"/>
        <w:jc w:val="both"/>
        <w:rPr>
          <w:rFonts w:ascii="Cambria" w:eastAsia="Times New Roman" w:hAnsi="Cambria" w:cs="Times New Roman"/>
          <w:lang w:val="bs-Latn-BA"/>
        </w:rPr>
      </w:pPr>
      <w:r w:rsidRPr="00033459">
        <w:rPr>
          <w:rFonts w:ascii="Cambria" w:eastAsia="Times New Roman" w:hAnsi="Cambria" w:cs="Times New Roman"/>
          <w:lang w:val="bs-Latn-BA"/>
        </w:rPr>
        <w:t xml:space="preserve">U Bosni i Hercegovini i dalje postoje rodne razlike u obrazovanju u smislu odabira područja studiranja i odabira zanimanja. </w:t>
      </w:r>
      <w:sdt>
        <w:sdtPr>
          <w:rPr>
            <w:rFonts w:ascii="Cambria" w:hAnsi="Cambria"/>
            <w:lang w:val="bs-Latn-BA"/>
          </w:rPr>
          <w:tag w:val="goog_rdk_0"/>
          <w:id w:val="-258987480"/>
        </w:sdtPr>
        <w:sdtEndPr/>
        <w:sdtContent>
          <w:r w:rsidRPr="00033459">
            <w:rPr>
              <w:rFonts w:ascii="Cambria" w:eastAsia="Times New Roman" w:hAnsi="Cambria" w:cs="Times New Roman"/>
              <w:lang w:val="bs-Latn-BA"/>
            </w:rPr>
            <w:t>Prema podacima Ministarstva obrazovanja i nauke Tuzlanskog kantona, na području Tuzlanskog kantona u školskoj 2024/2025. godini u osnovnim školama nastavu je pohađalo 33742 učenika/učenice, od čega je 16.595 ili 49,18% djevojčica</w:t>
          </w:r>
        </w:sdtContent>
      </w:sdt>
      <w:r w:rsidRPr="00033459">
        <w:rPr>
          <w:rFonts w:ascii="Cambria" w:eastAsia="Times New Roman" w:hAnsi="Cambria" w:cs="Times New Roman"/>
          <w:lang w:val="bs-Latn-BA"/>
        </w:rPr>
        <w:t>.</w:t>
      </w:r>
    </w:p>
    <w:p w:rsidR="00744078" w:rsidRPr="00033459" w:rsidRDefault="00744078" w:rsidP="00E542BE">
      <w:pPr>
        <w:widowControl w:val="0"/>
        <w:pBdr>
          <w:top w:val="nil"/>
          <w:left w:val="nil"/>
          <w:bottom w:val="nil"/>
          <w:right w:val="nil"/>
          <w:between w:val="nil"/>
        </w:pBdr>
        <w:tabs>
          <w:tab w:val="left" w:pos="5103"/>
        </w:tabs>
        <w:spacing w:line="276" w:lineRule="auto"/>
        <w:ind w:left="100" w:right="4"/>
        <w:jc w:val="center"/>
        <w:rPr>
          <w:rFonts w:ascii="Cambria" w:eastAsia="Times New Roman" w:hAnsi="Cambria" w:cs="Times New Roman"/>
          <w:highlight w:val="white"/>
          <w:lang w:val="bs-Latn-BA"/>
        </w:rPr>
      </w:pPr>
      <w:r w:rsidRPr="00033459">
        <w:rPr>
          <w:rFonts w:ascii="Cambria" w:eastAsia="Times New Roman" w:hAnsi="Cambria" w:cs="Times New Roman"/>
          <w:noProof/>
          <w:lang w:val="bs-Latn-BA" w:eastAsia="bs-Latn-BA"/>
        </w:rPr>
        <w:drawing>
          <wp:inline distT="0" distB="0" distL="0" distR="0" wp14:anchorId="2C429667" wp14:editId="1190C3F7">
            <wp:extent cx="5227780" cy="2686050"/>
            <wp:effectExtent l="0" t="0" r="0" b="0"/>
            <wp:docPr id="100028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9567" name=""/>
                    <pic:cNvPicPr/>
                  </pic:nvPicPr>
                  <pic:blipFill>
                    <a:blip r:embed="rId15"/>
                    <a:stretch>
                      <a:fillRect/>
                    </a:stretch>
                  </pic:blipFill>
                  <pic:spPr>
                    <a:xfrm>
                      <a:off x="0" y="0"/>
                      <a:ext cx="5322178" cy="2734552"/>
                    </a:xfrm>
                    <a:prstGeom prst="rect">
                      <a:avLst/>
                    </a:prstGeom>
                  </pic:spPr>
                </pic:pic>
              </a:graphicData>
            </a:graphic>
          </wp:inline>
        </w:drawing>
      </w:r>
    </w:p>
    <w:p w:rsidR="00993B1F" w:rsidRPr="00033459" w:rsidRDefault="00744078" w:rsidP="002F596A">
      <w:pPr>
        <w:widowControl w:val="0"/>
        <w:pBdr>
          <w:top w:val="nil"/>
          <w:left w:val="nil"/>
          <w:bottom w:val="nil"/>
          <w:right w:val="nil"/>
          <w:between w:val="nil"/>
        </w:pBdr>
        <w:tabs>
          <w:tab w:val="left" w:pos="5103"/>
        </w:tabs>
        <w:spacing w:line="276" w:lineRule="auto"/>
        <w:ind w:left="100" w:right="4"/>
        <w:jc w:val="both"/>
        <w:rPr>
          <w:rFonts w:ascii="Cambria" w:eastAsia="Times New Roman" w:hAnsi="Cambria" w:cs="Times New Roman"/>
          <w:lang w:val="bs-Latn-BA"/>
        </w:rPr>
      </w:pPr>
      <w:r w:rsidRPr="00033459">
        <w:rPr>
          <w:rFonts w:ascii="Cambria" w:eastAsia="Times New Roman" w:hAnsi="Cambria" w:cs="Times New Roman"/>
          <w:lang w:val="bs-Latn-BA"/>
        </w:rPr>
        <w:t>Osnovno obrazovanje, Tuzlanski kanton u brojkama 2024</w:t>
      </w:r>
    </w:p>
    <w:p w:rsidR="00744078" w:rsidRPr="00033459" w:rsidRDefault="00744078" w:rsidP="002F596A">
      <w:pPr>
        <w:widowControl w:val="0"/>
        <w:pBdr>
          <w:top w:val="nil"/>
          <w:left w:val="nil"/>
          <w:bottom w:val="nil"/>
          <w:right w:val="nil"/>
          <w:between w:val="nil"/>
        </w:pBdr>
        <w:tabs>
          <w:tab w:val="left" w:pos="5103"/>
        </w:tabs>
        <w:spacing w:line="276" w:lineRule="auto"/>
        <w:ind w:left="100" w:right="4"/>
        <w:jc w:val="both"/>
        <w:rPr>
          <w:rFonts w:ascii="Cambria" w:eastAsia="Times New Roman" w:hAnsi="Cambria" w:cs="Times New Roman"/>
          <w:highlight w:val="white"/>
          <w:lang w:val="bs-Latn-BA"/>
        </w:rPr>
      </w:pPr>
    </w:p>
    <w:sdt>
      <w:sdtPr>
        <w:rPr>
          <w:rFonts w:ascii="Cambria" w:hAnsi="Cambria"/>
          <w:lang w:val="bs-Latn-BA"/>
        </w:rPr>
        <w:tag w:val="goog_rdk_2"/>
        <w:id w:val="-636256691"/>
      </w:sdtPr>
      <w:sdtEndPr/>
      <w:sdtContent>
        <w:p w:rsidR="00993B1F" w:rsidRPr="00033459" w:rsidRDefault="00942562" w:rsidP="002F596A">
          <w:pPr>
            <w:widowControl w:val="0"/>
            <w:pBdr>
              <w:top w:val="nil"/>
              <w:left w:val="nil"/>
              <w:bottom w:val="nil"/>
              <w:right w:val="nil"/>
              <w:between w:val="nil"/>
            </w:pBdr>
            <w:tabs>
              <w:tab w:val="left" w:pos="5103"/>
            </w:tabs>
            <w:spacing w:line="276" w:lineRule="auto"/>
            <w:ind w:left="100" w:right="4"/>
            <w:jc w:val="both"/>
            <w:rPr>
              <w:rFonts w:ascii="Cambria" w:hAnsi="Cambria"/>
              <w:lang w:val="bs-Latn-BA"/>
            </w:rPr>
          </w:pPr>
          <w:r w:rsidRPr="00033459">
            <w:rPr>
              <w:rFonts w:ascii="Cambria" w:eastAsia="Times New Roman" w:hAnsi="Cambria" w:cs="Times New Roman"/>
              <w:highlight w:val="white"/>
              <w:lang w:val="bs-Latn-BA"/>
            </w:rPr>
            <w:t>U srednjim školama u školskoj 2024/2025.godini upisano je 13.926 učenika/učenica, od čega je 6987 ili 50,17% djevojčica. Bilježimo podatak da je značajno više djevojčica upisano u opću gimnaziju 71,73% ili za zanimanja medicinska-sestra tehničar (76,31%) i frizer (84,84%), a da npr. niti jedna djevojčica nije upisana za zanimanja automehaničar, autoelektričar, bravar, električar</w:t>
          </w:r>
          <w:r w:rsidR="00E257D2" w:rsidRPr="00033459">
            <w:rPr>
              <w:rFonts w:ascii="Cambria" w:eastAsia="Times New Roman" w:hAnsi="Cambria" w:cs="Times New Roman"/>
              <w:highlight w:val="white"/>
              <w:lang w:val="bs-Latn-BA"/>
            </w:rPr>
            <w:t>.</w:t>
          </w:r>
          <w:r w:rsidRPr="00033459">
            <w:rPr>
              <w:rFonts w:ascii="Cambria" w:eastAsia="Times New Roman" w:hAnsi="Cambria" w:cs="Times New Roman"/>
              <w:highlight w:val="white"/>
              <w:lang w:val="bs-Latn-BA"/>
            </w:rPr>
            <w:t xml:space="preserve"> S tim u vezi, može konstatovati da je pri upisu učenika u pojedina zanimanja evidentna spolna disproporcija.</w:t>
          </w:r>
          <w:sdt>
            <w:sdtPr>
              <w:rPr>
                <w:rFonts w:ascii="Cambria" w:hAnsi="Cambria"/>
                <w:lang w:val="bs-Latn-BA"/>
              </w:rPr>
              <w:tag w:val="goog_rdk_1"/>
              <w:id w:val="-1635942280"/>
            </w:sdtPr>
            <w:sdtEndPr/>
            <w:sdtContent/>
          </w:sdt>
        </w:p>
      </w:sdtContent>
    </w:sdt>
    <w:p w:rsidR="00744078" w:rsidRPr="00033459" w:rsidRDefault="00744078" w:rsidP="00E542BE">
      <w:pPr>
        <w:widowControl w:val="0"/>
        <w:pBdr>
          <w:top w:val="nil"/>
          <w:left w:val="nil"/>
          <w:bottom w:val="nil"/>
          <w:right w:val="nil"/>
          <w:between w:val="nil"/>
        </w:pBdr>
        <w:tabs>
          <w:tab w:val="left" w:pos="5103"/>
        </w:tabs>
        <w:spacing w:line="276" w:lineRule="auto"/>
        <w:ind w:left="100" w:right="4"/>
        <w:jc w:val="center"/>
        <w:rPr>
          <w:rFonts w:ascii="Cambria" w:eastAsia="Times New Roman" w:hAnsi="Cambria" w:cs="Times New Roman"/>
          <w:highlight w:val="white"/>
          <w:lang w:val="bs-Latn-BA"/>
        </w:rPr>
      </w:pPr>
      <w:r w:rsidRPr="00033459">
        <w:rPr>
          <w:rFonts w:ascii="Cambria" w:eastAsia="Times New Roman" w:hAnsi="Cambria" w:cs="Times New Roman"/>
          <w:noProof/>
          <w:lang w:val="bs-Latn-BA" w:eastAsia="bs-Latn-BA"/>
        </w:rPr>
        <w:lastRenderedPageBreak/>
        <w:drawing>
          <wp:inline distT="0" distB="0" distL="0" distR="0" wp14:anchorId="77DB7573" wp14:editId="3935A1EE">
            <wp:extent cx="5495924" cy="2362200"/>
            <wp:effectExtent l="0" t="0" r="0" b="0"/>
            <wp:docPr id="992533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33894" name=""/>
                    <pic:cNvPicPr/>
                  </pic:nvPicPr>
                  <pic:blipFill>
                    <a:blip r:embed="rId16"/>
                    <a:stretch>
                      <a:fillRect/>
                    </a:stretch>
                  </pic:blipFill>
                  <pic:spPr>
                    <a:xfrm>
                      <a:off x="0" y="0"/>
                      <a:ext cx="5538980" cy="2380706"/>
                    </a:xfrm>
                    <a:prstGeom prst="rect">
                      <a:avLst/>
                    </a:prstGeom>
                  </pic:spPr>
                </pic:pic>
              </a:graphicData>
            </a:graphic>
          </wp:inline>
        </w:drawing>
      </w:r>
    </w:p>
    <w:p w:rsidR="00744078" w:rsidRPr="00033459" w:rsidRDefault="00744078" w:rsidP="002F596A">
      <w:pPr>
        <w:widowControl w:val="0"/>
        <w:pBdr>
          <w:top w:val="nil"/>
          <w:left w:val="nil"/>
          <w:bottom w:val="nil"/>
          <w:right w:val="nil"/>
          <w:between w:val="nil"/>
        </w:pBdr>
        <w:tabs>
          <w:tab w:val="left" w:pos="5103"/>
        </w:tabs>
        <w:spacing w:line="276" w:lineRule="auto"/>
        <w:ind w:left="100" w:right="4"/>
        <w:jc w:val="both"/>
        <w:rPr>
          <w:rFonts w:ascii="Cambria" w:eastAsia="Times New Roman" w:hAnsi="Cambria" w:cs="Times New Roman"/>
          <w:highlight w:val="white"/>
          <w:lang w:val="bs-Latn-BA"/>
        </w:rPr>
      </w:pPr>
      <w:r w:rsidRPr="00033459">
        <w:rPr>
          <w:rFonts w:ascii="Cambria" w:eastAsia="Times New Roman" w:hAnsi="Cambria" w:cs="Times New Roman"/>
          <w:lang w:val="bs-Latn-BA"/>
        </w:rPr>
        <w:t>Srednje obrazovanje, Tuzlanski kanton u brojkama 2024</w:t>
      </w:r>
    </w:p>
    <w:p w:rsidR="00993B1F" w:rsidRPr="00033459" w:rsidRDefault="00942562" w:rsidP="002F596A">
      <w:pPr>
        <w:pStyle w:val="Heading2"/>
        <w:rPr>
          <w:rFonts w:eastAsia="Calibri"/>
        </w:rPr>
      </w:pPr>
      <w:bookmarkStart w:id="19" w:name="_heading=h.e7j2qbirrid4" w:colFirst="0" w:colLast="0"/>
      <w:bookmarkStart w:id="20" w:name="_Toc195186408"/>
      <w:bookmarkEnd w:id="19"/>
      <w:r w:rsidRPr="00033459">
        <w:t>2.2. Smanjen jaz između žena i muškaraca na tržištu rada</w:t>
      </w:r>
      <w:bookmarkEnd w:id="20"/>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Ravnopravno učešće žena i muškaraca na tržištu rada je jedan od preduslova za postizanje ciljeva ravnopravnosti spolova. U BiH u svim različitim dobnim skupinama, prihodovnim razredima i lokacijama, muškarci više od žena učestvuju u radnoj snazi. Učešće žena u radnoj snazi u BiH je značajno niže nego što bi se moglo očekivati i trenutno je jedno od najnižih u Evropi.</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Prema statističkim podacima JU Službe za zapošljavanje TK, Tuzla na dan 31.12.2024. godine</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 xml:space="preserve">evidentirane su 60.459 </w:t>
      </w:r>
      <w:r w:rsidR="00E542BE" w:rsidRPr="00033459">
        <w:rPr>
          <w:rFonts w:ascii="Cambria" w:eastAsia="Times New Roman" w:hAnsi="Cambria" w:cs="Times New Roman"/>
          <w:lang w:val="bs-Latn-BA"/>
        </w:rPr>
        <w:t>nezaposlen</w:t>
      </w:r>
      <w:r w:rsidR="00E542BE">
        <w:rPr>
          <w:rFonts w:ascii="Cambria" w:eastAsia="Times New Roman" w:hAnsi="Cambria" w:cs="Times New Roman"/>
          <w:lang w:val="bs-Latn-BA"/>
        </w:rPr>
        <w:t>e</w:t>
      </w:r>
      <w:r w:rsidRPr="00033459">
        <w:rPr>
          <w:rFonts w:ascii="Cambria" w:eastAsia="Times New Roman" w:hAnsi="Cambria" w:cs="Times New Roman"/>
          <w:lang w:val="bs-Latn-BA"/>
        </w:rPr>
        <w:t xml:space="preserve"> osobe, dok u istom periodu prethodne godine 64.493 nezaposlene osobe, što govori da je za 4.034 osoba manje na evidenciji. Od ukupnog broja osoba koje traže zaposlenje, 39.333 su žene.</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Učešće žena u strukturi nezaposlenih u 2024. godini u odnosu na 2023. godinu je rastao, a procenat muškaraca padao. U oba slučaja radi se o podacima registrovane nezaposlenosti i teško je donijeti zaključak o uzrocima takvog stanja. Statistički podaci JU Služba za zapošljavanje TK</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pokazuju da u Tuzlanskom kantonu u 2024. godini procenat nezaposlenih žena je 65,14% dok muškaraca 34,86%.</w:t>
      </w:r>
      <w:r w:rsidR="00E257D2" w:rsidRPr="00033459">
        <w:rPr>
          <w:rFonts w:ascii="Cambria" w:eastAsia="Times New Roman" w:hAnsi="Cambria" w:cs="Times New Roman"/>
          <w:lang w:val="bs-Latn-BA"/>
        </w:rPr>
        <w:t xml:space="preserve"> </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Aktivnosti JU Službe za zapošljavanje TK u okviru realizacije aktivnih mjera zapošljavanja bile su usmjerene na poticanje poslodavaca da traže radnu snagu.</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S druge strane, Služba se usmjerila na pružanje podrške nezaposlenim osobama kroz poboljšanje njihove zapošljivosti i konkurentnosti, sticanje radnog iskustva i potrebnih vještina, sprečavanja dugotrajne nezaposlenosti, kao i poticanje njihovog samozapošljavanja, odnosno kroz razvoj poduzetništva.</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U praksi to znači stvaranje jednakih mogućnosti u pristupu tržištu rada, kroz programe Službe i</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 xml:space="preserve">Federalnog zavoda za </w:t>
      </w:r>
      <w:r w:rsidR="00E542BE" w:rsidRPr="00033459">
        <w:rPr>
          <w:rFonts w:ascii="Cambria" w:eastAsia="Times New Roman" w:hAnsi="Cambria" w:cs="Times New Roman"/>
          <w:lang w:val="bs-Latn-BA"/>
        </w:rPr>
        <w:t>zapošljavanje</w:t>
      </w:r>
      <w:r w:rsidRPr="00033459">
        <w:rPr>
          <w:rFonts w:ascii="Cambria" w:eastAsia="Times New Roman" w:hAnsi="Cambria" w:cs="Times New Roman"/>
          <w:lang w:val="bs-Latn-BA"/>
        </w:rPr>
        <w:t>.</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 xml:space="preserve">Sredstva za poticaje aktivnih mjera </w:t>
      </w:r>
      <w:r w:rsidR="00E542BE" w:rsidRPr="00033459">
        <w:rPr>
          <w:rFonts w:ascii="Cambria" w:eastAsia="Times New Roman" w:hAnsi="Cambria" w:cs="Times New Roman"/>
          <w:lang w:val="bs-Latn-BA"/>
        </w:rPr>
        <w:t>zapošljavanja</w:t>
      </w:r>
      <w:r w:rsidRPr="00033459">
        <w:rPr>
          <w:rFonts w:ascii="Cambria" w:eastAsia="Times New Roman" w:hAnsi="Cambria" w:cs="Times New Roman"/>
          <w:lang w:val="bs-Latn-BA"/>
        </w:rPr>
        <w:t xml:space="preserve"> su predviđena </w:t>
      </w:r>
      <w:r w:rsidR="00E542BE" w:rsidRPr="00033459">
        <w:rPr>
          <w:rFonts w:ascii="Cambria" w:eastAsia="Times New Roman" w:hAnsi="Cambria" w:cs="Times New Roman"/>
          <w:lang w:val="bs-Latn-BA"/>
        </w:rPr>
        <w:t>Finansijskim</w:t>
      </w:r>
      <w:r w:rsidRPr="00033459">
        <w:rPr>
          <w:rFonts w:ascii="Cambria" w:eastAsia="Times New Roman" w:hAnsi="Cambria" w:cs="Times New Roman"/>
          <w:lang w:val="bs-Latn-BA"/>
        </w:rPr>
        <w:t xml:space="preserve"> planom JU Službe za zapošljavanje, te njihova realizacija je sastavni dio, kako kvartalnih tako i godišnjih izvještaja o izvršenju Finansijskog plana.</w:t>
      </w:r>
    </w:p>
    <w:p w:rsidR="00E0089A" w:rsidRDefault="00E0089A" w:rsidP="002F596A">
      <w:pPr>
        <w:widowControl w:val="0"/>
        <w:tabs>
          <w:tab w:val="left" w:pos="5103"/>
        </w:tabs>
        <w:spacing w:line="276" w:lineRule="auto"/>
        <w:jc w:val="both"/>
        <w:rPr>
          <w:rFonts w:ascii="Cambria" w:eastAsia="Times New Roman" w:hAnsi="Cambria" w:cs="Times New Roman"/>
          <w:b/>
          <w:i/>
          <w:lang w:val="bs-Latn-BA"/>
        </w:rPr>
      </w:pPr>
    </w:p>
    <w:p w:rsidR="00E0089A" w:rsidRDefault="00E0089A" w:rsidP="002F596A">
      <w:pPr>
        <w:widowControl w:val="0"/>
        <w:tabs>
          <w:tab w:val="left" w:pos="5103"/>
        </w:tabs>
        <w:spacing w:line="276" w:lineRule="auto"/>
        <w:jc w:val="both"/>
        <w:rPr>
          <w:rFonts w:ascii="Cambria" w:eastAsia="Times New Roman" w:hAnsi="Cambria" w:cs="Times New Roman"/>
          <w:b/>
          <w:i/>
          <w:lang w:val="bs-Latn-BA"/>
        </w:rPr>
      </w:pPr>
    </w:p>
    <w:p w:rsidR="00E0089A" w:rsidRDefault="00E0089A" w:rsidP="002F596A">
      <w:pPr>
        <w:widowControl w:val="0"/>
        <w:tabs>
          <w:tab w:val="left" w:pos="5103"/>
        </w:tabs>
        <w:spacing w:line="276" w:lineRule="auto"/>
        <w:jc w:val="both"/>
        <w:rPr>
          <w:rFonts w:ascii="Cambria" w:eastAsia="Times New Roman" w:hAnsi="Cambria" w:cs="Times New Roman"/>
          <w:b/>
          <w:i/>
          <w:lang w:val="bs-Latn-BA"/>
        </w:rPr>
      </w:pPr>
    </w:p>
    <w:p w:rsidR="00993B1F" w:rsidRPr="00033459" w:rsidRDefault="00942562" w:rsidP="002F596A">
      <w:pPr>
        <w:widowControl w:val="0"/>
        <w:tabs>
          <w:tab w:val="left" w:pos="5103"/>
        </w:tabs>
        <w:spacing w:line="276" w:lineRule="auto"/>
        <w:jc w:val="both"/>
        <w:rPr>
          <w:rFonts w:ascii="Cambria" w:eastAsia="Times New Roman" w:hAnsi="Cambria" w:cs="Times New Roman"/>
          <w:b/>
          <w:i/>
          <w:lang w:val="bs-Latn-BA"/>
        </w:rPr>
      </w:pPr>
      <w:r w:rsidRPr="00033459">
        <w:rPr>
          <w:rFonts w:ascii="Cambria" w:eastAsia="Times New Roman" w:hAnsi="Cambria" w:cs="Times New Roman"/>
          <w:b/>
          <w:i/>
          <w:lang w:val="bs-Latn-BA"/>
        </w:rPr>
        <w:lastRenderedPageBreak/>
        <w:t>Grafikon 1: Procenat nezaposlenih u poređenju 2024. godina u odnosu na 2023. godinu</w:t>
      </w:r>
    </w:p>
    <w:p w:rsidR="00993B1F" w:rsidRPr="00033459" w:rsidRDefault="00942562" w:rsidP="002F596A">
      <w:pPr>
        <w:widowControl w:val="0"/>
        <w:tabs>
          <w:tab w:val="left" w:pos="5103"/>
        </w:tabs>
        <w:spacing w:line="276" w:lineRule="auto"/>
        <w:jc w:val="both"/>
        <w:rPr>
          <w:rFonts w:ascii="Cambria" w:eastAsia="Times New Roman" w:hAnsi="Cambria" w:cs="Times New Roman"/>
          <w:b/>
          <w:i/>
          <w:lang w:val="bs-Latn-BA"/>
        </w:rPr>
      </w:pPr>
      <w:r w:rsidRPr="00033459">
        <w:rPr>
          <w:rFonts w:ascii="Cambria" w:eastAsia="Times New Roman" w:hAnsi="Cambria" w:cs="Times New Roman"/>
          <w:b/>
          <w:i/>
          <w:noProof/>
          <w:lang w:val="bs-Latn-BA" w:eastAsia="bs-Latn-BA"/>
        </w:rPr>
        <w:drawing>
          <wp:inline distT="114300" distB="114300" distL="114300" distR="114300">
            <wp:extent cx="5731200" cy="2730500"/>
            <wp:effectExtent l="0" t="0" r="0" b="0"/>
            <wp:docPr id="20563252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31200" cy="2730500"/>
                    </a:xfrm>
                    <a:prstGeom prst="rect">
                      <a:avLst/>
                    </a:prstGeom>
                    <a:ln/>
                  </pic:spPr>
                </pic:pic>
              </a:graphicData>
            </a:graphic>
          </wp:inline>
        </w:drawing>
      </w:r>
      <w:r w:rsidR="00E257D2" w:rsidRPr="00033459">
        <w:rPr>
          <w:rFonts w:ascii="Cambria" w:eastAsia="Times New Roman" w:hAnsi="Cambria" w:cs="Times New Roman"/>
          <w:b/>
          <w:i/>
          <w:lang w:val="bs-Latn-BA"/>
        </w:rPr>
        <w:t xml:space="preserve"> </w:t>
      </w:r>
    </w:p>
    <w:p w:rsidR="00E0089A" w:rsidRDefault="00E0089A" w:rsidP="002F596A">
      <w:pPr>
        <w:widowControl w:val="0"/>
        <w:tabs>
          <w:tab w:val="left" w:pos="5103"/>
        </w:tabs>
        <w:spacing w:line="276" w:lineRule="auto"/>
        <w:jc w:val="both"/>
        <w:rPr>
          <w:rFonts w:ascii="Cambria" w:eastAsia="Times New Roman" w:hAnsi="Cambria" w:cs="Times New Roman"/>
          <w:b/>
          <w:i/>
          <w:lang w:val="bs-Latn-BA"/>
        </w:rPr>
      </w:pP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b/>
          <w:i/>
          <w:lang w:val="bs-Latn-BA"/>
        </w:rPr>
        <w:t>Grafikon 2: Nezaposleni po starosnoj dobi u 2024. godini</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noProof/>
          <w:lang w:val="bs-Latn-BA" w:eastAsia="bs-Latn-BA"/>
        </w:rPr>
        <w:drawing>
          <wp:inline distT="114300" distB="114300" distL="114300" distR="114300">
            <wp:extent cx="5731200" cy="2794000"/>
            <wp:effectExtent l="0" t="0" r="0" b="0"/>
            <wp:docPr id="20563252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31200" cy="2794000"/>
                    </a:xfrm>
                    <a:prstGeom prst="rect">
                      <a:avLst/>
                    </a:prstGeom>
                    <a:ln/>
                  </pic:spPr>
                </pic:pic>
              </a:graphicData>
            </a:graphic>
          </wp:inline>
        </w:drawing>
      </w:r>
    </w:p>
    <w:p w:rsidR="00E0089A" w:rsidRDefault="00E0089A" w:rsidP="002F596A">
      <w:pPr>
        <w:widowControl w:val="0"/>
        <w:tabs>
          <w:tab w:val="left" w:pos="5103"/>
        </w:tabs>
        <w:spacing w:line="276" w:lineRule="auto"/>
        <w:jc w:val="both"/>
        <w:rPr>
          <w:rFonts w:ascii="Cambria" w:eastAsia="Times New Roman" w:hAnsi="Cambria" w:cs="Times New Roman"/>
          <w:lang w:val="bs-Latn-BA"/>
        </w:rPr>
      </w:pP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U pogledu nezaposlenosti po starosnoj dobi u 2024. godini prema statističkim podacima</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JU Služba za zapošljavanje TK Tuzla, najviše nezaposlenih po starosnoj strukturi žena je između 30-34. godine dok kod muškaraca nezaposlenost po starosnoj dobi je između 60 i više godina.</w:t>
      </w:r>
    </w:p>
    <w:p w:rsidR="00E0089A" w:rsidRDefault="00E0089A" w:rsidP="002F596A">
      <w:pPr>
        <w:widowControl w:val="0"/>
        <w:tabs>
          <w:tab w:val="left" w:pos="5103"/>
        </w:tabs>
        <w:spacing w:line="276" w:lineRule="auto"/>
        <w:jc w:val="both"/>
        <w:rPr>
          <w:rFonts w:ascii="Cambria" w:eastAsia="Times New Roman" w:hAnsi="Cambria" w:cs="Times New Roman"/>
          <w:b/>
          <w:i/>
          <w:lang w:val="bs-Latn-BA"/>
        </w:rPr>
      </w:pPr>
    </w:p>
    <w:p w:rsidR="00E0089A" w:rsidRDefault="00E0089A" w:rsidP="002F596A">
      <w:pPr>
        <w:widowControl w:val="0"/>
        <w:tabs>
          <w:tab w:val="left" w:pos="5103"/>
        </w:tabs>
        <w:spacing w:line="276" w:lineRule="auto"/>
        <w:jc w:val="both"/>
        <w:rPr>
          <w:rFonts w:ascii="Cambria" w:eastAsia="Times New Roman" w:hAnsi="Cambria" w:cs="Times New Roman"/>
          <w:b/>
          <w:i/>
          <w:lang w:val="bs-Latn-BA"/>
        </w:rPr>
      </w:pPr>
    </w:p>
    <w:p w:rsidR="00E0089A" w:rsidRDefault="00E0089A" w:rsidP="002F596A">
      <w:pPr>
        <w:widowControl w:val="0"/>
        <w:tabs>
          <w:tab w:val="left" w:pos="5103"/>
        </w:tabs>
        <w:spacing w:line="276" w:lineRule="auto"/>
        <w:jc w:val="both"/>
        <w:rPr>
          <w:rFonts w:ascii="Cambria" w:eastAsia="Times New Roman" w:hAnsi="Cambria" w:cs="Times New Roman"/>
          <w:b/>
          <w:i/>
          <w:lang w:val="bs-Latn-BA"/>
        </w:rPr>
      </w:pPr>
    </w:p>
    <w:p w:rsidR="00E0089A" w:rsidRDefault="00E0089A" w:rsidP="002F596A">
      <w:pPr>
        <w:widowControl w:val="0"/>
        <w:tabs>
          <w:tab w:val="left" w:pos="5103"/>
        </w:tabs>
        <w:spacing w:line="276" w:lineRule="auto"/>
        <w:jc w:val="both"/>
        <w:rPr>
          <w:rFonts w:ascii="Cambria" w:eastAsia="Times New Roman" w:hAnsi="Cambria" w:cs="Times New Roman"/>
          <w:b/>
          <w:i/>
          <w:lang w:val="bs-Latn-BA"/>
        </w:rPr>
      </w:pPr>
    </w:p>
    <w:p w:rsidR="00993B1F" w:rsidRPr="00033459" w:rsidRDefault="00942562" w:rsidP="002F596A">
      <w:pPr>
        <w:widowControl w:val="0"/>
        <w:tabs>
          <w:tab w:val="left" w:pos="5103"/>
        </w:tabs>
        <w:spacing w:line="276" w:lineRule="auto"/>
        <w:jc w:val="both"/>
        <w:rPr>
          <w:rFonts w:ascii="Cambria" w:eastAsia="Times New Roman" w:hAnsi="Cambria" w:cs="Times New Roman"/>
          <w:b/>
          <w:i/>
          <w:lang w:val="bs-Latn-BA"/>
        </w:rPr>
      </w:pPr>
      <w:r w:rsidRPr="00033459">
        <w:rPr>
          <w:rFonts w:ascii="Cambria" w:eastAsia="Times New Roman" w:hAnsi="Cambria" w:cs="Times New Roman"/>
          <w:b/>
          <w:i/>
          <w:lang w:val="bs-Latn-BA"/>
        </w:rPr>
        <w:lastRenderedPageBreak/>
        <w:t>Grafikon 3: Nezaposleni po općinama i spolu u 2024. godini</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noProof/>
          <w:lang w:val="bs-Latn-BA" w:eastAsia="bs-Latn-BA"/>
        </w:rPr>
        <w:drawing>
          <wp:inline distT="114300" distB="114300" distL="114300" distR="114300">
            <wp:extent cx="5734050" cy="2576401"/>
            <wp:effectExtent l="0" t="0" r="0" b="0"/>
            <wp:docPr id="20563252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34050" cy="2576401"/>
                    </a:xfrm>
                    <a:prstGeom prst="rect">
                      <a:avLst/>
                    </a:prstGeom>
                    <a:ln/>
                  </pic:spPr>
                </pic:pic>
              </a:graphicData>
            </a:graphic>
          </wp:inline>
        </w:drawing>
      </w:r>
      <w:r w:rsidRPr="00033459">
        <w:rPr>
          <w:rFonts w:ascii="Cambria" w:eastAsia="Times New Roman" w:hAnsi="Cambria" w:cs="Times New Roman"/>
          <w:lang w:val="bs-Latn-BA"/>
        </w:rPr>
        <w:t xml:space="preserve"> </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U pogledu nezaposlenosti po općinama i spolu u 2024. godini prema statističkim podacima JU Služba za zapošljavanje TK Tuzla najveća nezaposlenost žena je na Birou Banovići dok u Birou Čelić najviše je nezaposlenih muškaraca.</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b/>
          <w:i/>
          <w:lang w:val="bs-Latn-BA"/>
        </w:rPr>
        <w:t xml:space="preserve"> Grafikon 4: Nezaposlene osobe po stepenu stručnog obrazovanja i spolu u 2024. godini</w:t>
      </w:r>
    </w:p>
    <w:p w:rsidR="00993B1F" w:rsidRPr="00033459" w:rsidRDefault="00942562" w:rsidP="002F596A">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noProof/>
          <w:lang w:val="bs-Latn-BA" w:eastAsia="bs-Latn-BA"/>
        </w:rPr>
        <w:drawing>
          <wp:inline distT="114300" distB="114300" distL="114300" distR="114300">
            <wp:extent cx="5731200" cy="3187700"/>
            <wp:effectExtent l="0" t="0" r="0" b="0"/>
            <wp:docPr id="20563252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31200" cy="3187700"/>
                    </a:xfrm>
                    <a:prstGeom prst="rect">
                      <a:avLst/>
                    </a:prstGeom>
                    <a:ln/>
                  </pic:spPr>
                </pic:pic>
              </a:graphicData>
            </a:graphic>
          </wp:inline>
        </w:drawing>
      </w:r>
    </w:p>
    <w:p w:rsidR="00744078" w:rsidRPr="00033459" w:rsidRDefault="00942562" w:rsidP="00E542BE">
      <w:pPr>
        <w:widowControl w:val="0"/>
        <w:tabs>
          <w:tab w:val="left" w:pos="5103"/>
        </w:tabs>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U pogledu stručne spreme, najviše nezaposlenih je nekvalifikovanih osoba, njih 20.840.</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Ako poredimo spolnu strukturu najviše nezaposlenih žena ja sa NKV i to 13.657 dok najveća nezaposlenost muškaraca po stručnoj spremi je KV i to 8.239.</w:t>
      </w:r>
    </w:p>
    <w:p w:rsidR="00744078" w:rsidRPr="00033459" w:rsidRDefault="00744078" w:rsidP="002F596A">
      <w:pPr>
        <w:jc w:val="both"/>
        <w:rPr>
          <w:rFonts w:ascii="Cambria" w:eastAsia="Times New Roman" w:hAnsi="Cambria" w:cs="Times New Roman"/>
          <w:lang w:val="bs-Latn-BA"/>
        </w:rPr>
      </w:pPr>
      <w:r w:rsidRPr="00033459">
        <w:rPr>
          <w:rFonts w:ascii="Cambria" w:eastAsia="Times New Roman" w:hAnsi="Cambria" w:cs="Times New Roman"/>
          <w:lang w:val="bs-Latn-BA"/>
        </w:rPr>
        <w:t xml:space="preserve">U izvještajnom periodu prava iz oblasti zaštite porodice sa djecom realizovana su u skladu sa važećim zakonodavnim okvirom, i to: Zakonom o osnovama socijalne zaštite, zaštite civilnih žrtava rata i zaštite porodice sa djecom Federacije Bosne i Hercegovine („Službene novine Federacije BiH“, broj: 36/99, 54/04, 39/06, 14/09 i 17/11), Zakonom o materijalnoj podršci porodicama s djecom u Federaciji Bosne i Hercegovine („Službene novine Federacije BiH“, broj: </w:t>
      </w:r>
      <w:r w:rsidRPr="00033459">
        <w:rPr>
          <w:rFonts w:ascii="Cambria" w:eastAsia="Times New Roman" w:hAnsi="Cambria" w:cs="Times New Roman"/>
          <w:lang w:val="bs-Latn-BA"/>
        </w:rPr>
        <w:lastRenderedPageBreak/>
        <w:t>52/22), kao i Zakonom o socijalnoj zaštiti, zaštiti civilnih žrtava rata i zaštiti porodice sa djecom – prečišćeni tekst („Službene novine Tuzlanskog kantona“, broj: 5/12, 7/14, 11/15, 13/16, 4/18, 12/20, 22/21, 5/22, 8/22, 10/22, 14/22, 19/22 i 12/23), te drugim prečišćenim tekstom istog zakona („Službene novine Tuzlanskog kantona“, broj: 18/23).</w:t>
      </w:r>
    </w:p>
    <w:p w:rsidR="00744078" w:rsidRPr="00033459" w:rsidRDefault="00744078"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skladu sa pomenutim propisima, tokom izvještajnog perioda u Tuzlanskom kantonu realizovana su prava iz oblasti zaštite porodice sa djecom koja se odnose na novčana davanja, i to: dodatak na djecu; naknada umjesto plaće ženi-majci, odnosno drugom zaposlenom licu za vrijeme odsustva s posla zbog trudnoće, porođaja i njege djeteta, kao i dodatna novčana pomoć zaposlenoj majci porodilji; novčana pomoć i dodatna novčana pomoć nezaposlenoj majci porodilji; osiguranje jednog obroka u vrijeme nastave u osnovnim školama; pravo na subvencioniranje dijela troškova boravka djece u predškolskim ustanovama; jednokratna novčana pomoć za roditelje sa troje i više djece; te pravo na subvenciju troškova prijevoza.</w:t>
      </w:r>
    </w:p>
    <w:p w:rsidR="00744078" w:rsidRPr="00033459" w:rsidRDefault="00744078"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toku godine uvedena su i dva nova prava: novčana pomoć licima sa smetnjama u fizičkom ili psihičkom razvoju, te novčana pomoć za djecu oboljelu od celijakije, TBC, leukemije, karcinoma i šećerne bolesti.</w:t>
      </w:r>
    </w:p>
    <w:p w:rsidR="00744078" w:rsidRPr="00033459" w:rsidRDefault="00744078" w:rsidP="002F596A">
      <w:pPr>
        <w:jc w:val="both"/>
        <w:rPr>
          <w:rFonts w:ascii="Cambria" w:eastAsia="Times New Roman" w:hAnsi="Cambria" w:cs="Times New Roman"/>
          <w:lang w:val="bs-Latn-BA"/>
        </w:rPr>
      </w:pPr>
      <w:r w:rsidRPr="00033459">
        <w:rPr>
          <w:rFonts w:ascii="Cambria" w:eastAsia="Times New Roman" w:hAnsi="Cambria" w:cs="Times New Roman"/>
          <w:lang w:val="bs-Latn-BA"/>
        </w:rPr>
        <w:t>Komparativnom analizom podataka u periodu 2021–2024. godina utvrđen je kontinuiran porast broja korisnika i iznosa isplaćenih sredstava na ime navedenih prava. Posebno se ističe primjena Zakona o materijalnoj podršci porodicama s djecom u Federaciji Bosne i Hercegovine („Službene novine Federacije BiH“, broj: 52/22), kojim je propisano pravo na novčanu pomoć nezaposlenim majkama porodiljama. Pravo se ostvaruje pod uslovom da porodilja nije u radnom odnosu i nije evidentirana kod porezne uprave kao zaposlena. Visina novčane pomoći utvrđuje se u iznosu od 55% najniže plaće u Federaciji BiH, koja je u 2022. godini iznosila 298,65 KM.</w:t>
      </w:r>
    </w:p>
    <w:p w:rsidR="00744078" w:rsidRPr="00033459" w:rsidRDefault="00744078" w:rsidP="002F596A">
      <w:pPr>
        <w:jc w:val="both"/>
        <w:rPr>
          <w:rFonts w:ascii="Cambria" w:eastAsia="Times New Roman" w:hAnsi="Cambria" w:cs="Times New Roman"/>
          <w:lang w:val="bs-Latn-BA"/>
        </w:rPr>
      </w:pPr>
      <w:r w:rsidRPr="00033459">
        <w:rPr>
          <w:rFonts w:ascii="Cambria" w:eastAsia="Times New Roman" w:hAnsi="Cambria" w:cs="Times New Roman"/>
          <w:lang w:val="bs-Latn-BA"/>
        </w:rPr>
        <w:t>Zakonom o izmjenama i dopunama Zakona o socijalnoj zaštiti („Službene novine TK“, broj: 5/22), koji je stupio na snagu 1. aprila 2022. godine, uvedeno je i pravo na dodatnu novčanu pomoć nezaposlenoj majci porodilji. U skladu s odlukama Vlade TK, dodatna novčana pomoć se u periodu od 1. aprila do 9. oktobra 2022. godine isplaćivala u iznosu od 996,00 KM mjesečno, dok je od 9. oktobra do 31. decembra 2022. godine taj iznos iznosio 697,35 KM mjesečno, što predstavlja razliku između osnovne pomoći (298,65 KM) i prosječne plaće u FBiH za prethodnu godinu (996,00 KM).</w:t>
      </w:r>
    </w:p>
    <w:p w:rsidR="00744078" w:rsidRPr="00033459" w:rsidRDefault="00744078"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2022. godini pravo na novčanu pomoć i dodatnu novčanu pomoć ostvarilo je 810 korisnika, a isplaćeno je ukupno 5.999.650,60 KM. U 2023. godini osnovna novčana pomoć za nezaposlene porodilje iznosila je 327,80 KM. Pravo je ostvarilo 3.483 korisnica, a isplaćeno je 8.905.174,02 KM. Dodatna pomoć u 2023. godini iznosila je 668,20 KM, a isplaćena je u ukupnom iznosu od 16.169.302,27 KM. U 2024. godini pravo je ostvarilo 3.841 korisnica, pri čemu je na ime osnovne pomoći isplaćeno 9.105.174 KM, a na ime dodatne pomoći 16.235.694,85 KM. Ukupan iznos sredstava izdvojen za ovu namjenu od 2022. do 2024. godine iznosi 71.809.998,00 KM.</w:t>
      </w:r>
    </w:p>
    <w:p w:rsidR="00993B1F" w:rsidRDefault="00744078"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2024. godini, Ministarstvo za kulturu, sport i mlade Tuzlanskog kantona raspisalo je Javni poziv za podršku mladima kroz subvencioniranje troškova za smještaj i boravak djece u predškolskim ustanovama. Na osnovu ovog javnog poziva, dodijeljena su sredstva u ukupnom iznosu od 189.000,00 KM.</w:t>
      </w:r>
    </w:p>
    <w:p w:rsidR="00E542BE" w:rsidRPr="00033459" w:rsidRDefault="00E542BE" w:rsidP="002F596A">
      <w:pPr>
        <w:jc w:val="both"/>
        <w:rPr>
          <w:rFonts w:ascii="Cambria" w:eastAsia="Times New Roman" w:hAnsi="Cambria" w:cs="Times New Roman"/>
          <w:lang w:val="bs-Latn-BA"/>
        </w:rPr>
      </w:pPr>
    </w:p>
    <w:p w:rsidR="00993B1F" w:rsidRPr="00033459" w:rsidRDefault="00942562" w:rsidP="002F596A">
      <w:pPr>
        <w:pStyle w:val="Heading2"/>
      </w:pPr>
      <w:bookmarkStart w:id="21" w:name="_Toc195186409"/>
      <w:r w:rsidRPr="00033459">
        <w:t>2.3. Prevencija i zaštita od nasilja u porodici i nasilja na osnovu spola</w:t>
      </w:r>
      <w:bookmarkEnd w:id="21"/>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 xml:space="preserve">Nasilje nad ženama i nasilje u porodici, kao jedan od najvećih izazova bosanskohercegovačkog društva, problem je koji je odnedavno izašao iz privatne u javnu sferu. Ipak nasilje nad ženama i nasilje u porodici je i dalje jedan od najtežih kršenja prava žena. Prema Istraživanje o dobrobiti i </w:t>
      </w:r>
      <w:r w:rsidRPr="00033459">
        <w:rPr>
          <w:rFonts w:ascii="Cambria" w:eastAsia="Times New Roman" w:hAnsi="Cambria" w:cs="Times New Roman"/>
          <w:lang w:val="bs-Latn-BA"/>
        </w:rPr>
        <w:lastRenderedPageBreak/>
        <w:t xml:space="preserve">sigurnosti žena – rezultati za Bosnu i Hercegovinu pokazuje da je nasilje nad ženama rasprostranjeno u svim svojim oblicima, fizičko, psihičko, ekonomsko i socijalno. Tek malo manje od polovine žena u BiH (48%) iskusilo je neki oblik nasilja, uključujući i nasilje od strane intimnog partnera, nepartnera, uhođenje ili seksualno uznemiravanje, od svoje petnaeste godine. Preciznije rečeno, skoro četiri od deset žena (38%) izjavilo je da su iskusile psihičko, fizičko ili seksualno nasilje od petnaeste godine od strane partnera ili nepartnera. Jedna od sedam žena (14%) kaže da je iskusila psihičko ili seksualno nasilje od petnaeste godine od strane partnera ili nepartnera. </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 xml:space="preserve">U smislu počinilaca, broj prijavljenih slučajeva je najviši kada je u pitanju nasilje od strane bivšeg partnera, pri čemu 11% žena koje su imale bivšeg partnera kaže da je iskusilo jedan ili više oblika ovakvog nasilja, u poređenju sa 6% žena koje kažu da su iskusile fizičko ili seksualno nasilje od strane trenutnog partnera, i 8% svih žena koje kažu da su iskusile nasilje od strane nepartnera. </w:t>
      </w:r>
    </w:p>
    <w:p w:rsidR="002F596A"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 xml:space="preserve">Ove brojke su iste u oba entiteta. Od petnaeste godine života, 28% žena navodi da su iskusile seksualno uznemiravanje, dok je 10% žena doživjelo seksualno uznemiravanje u periodu od 12 mjeseci prije istraživanja. Uhođenje je iskusila jedna od dvadeset ispitanih žena (5% u oba entiteta). </w:t>
      </w:r>
    </w:p>
    <w:p w:rsidR="002F596A" w:rsidRPr="00033459" w:rsidRDefault="002F596A"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 xml:space="preserve">Kada su u pitanju aktivnosti nadležnih institucija Vlade Tuzlanskog kantona, one su bile usmjerena u </w:t>
      </w:r>
      <w:r w:rsidR="00E542BE" w:rsidRPr="00033459">
        <w:rPr>
          <w:rFonts w:ascii="Cambria" w:eastAsia="Times New Roman" w:hAnsi="Cambria" w:cs="Times New Roman"/>
          <w:lang w:val="bs-Latn-BA"/>
        </w:rPr>
        <w:t>četiri</w:t>
      </w:r>
      <w:r w:rsidRPr="00033459">
        <w:rPr>
          <w:rFonts w:ascii="Cambria" w:eastAsia="Times New Roman" w:hAnsi="Cambria" w:cs="Times New Roman"/>
          <w:lang w:val="bs-Latn-BA"/>
        </w:rPr>
        <w:t xml:space="preserve"> pravca: prevencija, zaštita žrtava, gonjenje počinilaca i donošenje sveobuhvatnih strateških dokumenata. </w:t>
      </w:r>
    </w:p>
    <w:p w:rsidR="002F596A" w:rsidRPr="00033459" w:rsidRDefault="002F596A" w:rsidP="002F596A">
      <w:pPr>
        <w:spacing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Vlada Tuzlanskog kantona je odlukom broj: 02/1-31-13932/24 od 12.06.2024. usvojila Akcioni plan za prevenciju i borbu protiv nasilja u porodici u Tuzlanskom kantonu 2024-2025. godina. Akcioni plan je objavljen na web stranici Ministarstva za rad, socijalnu politiku i povratak Tuzlanskog kantona (</w:t>
      </w:r>
      <w:hyperlink r:id="rId21">
        <w:r w:rsidRPr="002F596A">
          <w:rPr>
            <w:rStyle w:val="Hyperlink"/>
            <w:rFonts w:ascii="Cambria" w:eastAsia="Times New Roman" w:hAnsi="Cambria" w:cs="Times New Roman"/>
            <w:color w:val="auto"/>
            <w:lang w:val="bs-Latn-BA"/>
          </w:rPr>
          <w:t>www.mrspptk.gov.ba</w:t>
        </w:r>
      </w:hyperlink>
      <w:r w:rsidRPr="002F596A">
        <w:rPr>
          <w:rFonts w:ascii="Cambria" w:eastAsia="Times New Roman" w:hAnsi="Cambria" w:cs="Times New Roman"/>
          <w:lang w:val="bs-Latn-BA"/>
        </w:rPr>
        <w:t>). Od dokumenata koji su važni za rodnu ravnopravnost na području kantona, Vlada TK je na sjednici održanoj 30.12.2021. godine donijela Odluku o usvajanju Protokola o postupanju u slučaju uznemiravanja na temelju spola i seksualnog uznemiravanja u organima javnog sektora Tuzlanskog kantona ( „Službene novine Tuzlanskog kantona“ broj: 1/22).</w:t>
      </w:r>
    </w:p>
    <w:p w:rsidR="002F596A" w:rsidRPr="00033459" w:rsidRDefault="002F596A"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U okviru svojih aktivnosti, Koordinaciono tijelo za praćenje implementacije Gender akcionog plana Tuzlanskog kantona u saradnji sa Gender centrom Federacije BiH organizovalo je u septembru 2023. godine sastanak na kojem je razmatrana situacija u vezi s femicidima u Bosni i Hercegovini, s posebnim osvrtom na Tuzlanski kanton. U oktobru iste godine održan je i sastanak na temu implementacije kantonalnih Gender akcionih planova, na kojem su prisutni informisani o reviziji učinka u oblasti rodne ravnopravnosti i sprečavanja nasilja nad ženama, na osnovu izvještaja koji je dostavio Gender centar FBiH. U izvještajnom periodu predstavnici Koordinacionog tijela su također učestvovali na konferenciji „Multidisciplinarni pristup prevenciji i borbi protiv nasilja u porodici“, koja je održana u Sarajevu od 20. do 22. novembra 2023. godine, u organizaciji Gender centra FBiH u okviru implementacije projekta „Jačanje institucionalnih mehanizama za prevenciju, postupanje i zaštitu u slučajevima nasilja u porodici“, realizovanog u okviru programa UN Women.</w:t>
      </w:r>
    </w:p>
    <w:p w:rsidR="002F596A" w:rsidRPr="00033459" w:rsidRDefault="002F596A" w:rsidP="002F596A">
      <w:pPr>
        <w:pStyle w:val="NormalWeb"/>
        <w:jc w:val="both"/>
        <w:rPr>
          <w:rFonts w:ascii="Cambria" w:hAnsi="Cambria"/>
          <w:lang w:val="bs-Latn-BA"/>
        </w:rPr>
      </w:pPr>
      <w:r w:rsidRPr="002F596A">
        <w:rPr>
          <w:rFonts w:ascii="Cambria" w:hAnsi="Cambria"/>
          <w:lang w:val="bs-Latn-BA"/>
        </w:rPr>
        <w:t xml:space="preserve">U okviru implementacije Strategije za prevenciju, borbu i zaštitu od nasilja u porodici u FBiH provođena je kampanja tokom obilježavanja „16 dana aktivizma“, a zabilježen je povećan broj aktivnosti na lokalnim nivoima u svim kantonima. U okviru 16 dana aktivizma protiv rodno zasnovanog nasilja, nevladine organizacije sa područja Tuzlanskog kantona, uz institucionalnu podršku vladinog sektora održale su niz konferencija i ukazale na ovaj veliki društveni problem, koji sve više prijeti bosanskohercegovačkom društvu. </w:t>
      </w:r>
    </w:p>
    <w:p w:rsidR="002F596A" w:rsidRPr="00033459" w:rsidRDefault="002F596A"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 xml:space="preserve">Jedan od dostupnih servisa za žrtve nasilja u porodici na području Tuzlanskog kantona je sigurna kuća koju vodi Udruženje građana Vive Žene Tuzla. Ova organizacija već dugi niz godina pruža </w:t>
      </w:r>
      <w:r w:rsidRPr="00033459">
        <w:rPr>
          <w:rFonts w:ascii="Cambria" w:hAnsi="Cambria"/>
          <w:sz w:val="22"/>
          <w:szCs w:val="22"/>
          <w:lang w:val="bs-Latn-BA"/>
        </w:rPr>
        <w:lastRenderedPageBreak/>
        <w:t>sveobuhvatnu pomoć i podršku ženama žrtvama nasilja, u skladu sa Protokolom intervencija u slučajevima nasilja u porodici za Tuzlanski kanton. Pristup sigurnoj kući moguć je putem zahtjeva centara za socijalni rad, policije, zdravstvenih ustanova, pravosudnih organa, kao i na lični zahtjev žrtve. U okviru tretmana žrtvama nasilja obezbjeđuju se sljedeći oblici pomoći: psihoterapijski tretman, socijalno-pravno savjetovanje, body terapija, okupaciona terapija, medicinska pomoć, partnerska i porodična terapija, kao i koordinacija sa nadležnim institucijama i članovima porodice.</w:t>
      </w:r>
    </w:p>
    <w:p w:rsidR="002F596A" w:rsidRPr="00033459" w:rsidRDefault="002F596A" w:rsidP="002F596A">
      <w:pPr>
        <w:pStyle w:val="NormalWeb"/>
        <w:spacing w:before="0" w:beforeAutospacing="0" w:after="160" w:afterAutospacing="0"/>
        <w:jc w:val="both"/>
        <w:rPr>
          <w:rFonts w:ascii="Cambria" w:hAnsi="Cambria"/>
          <w:sz w:val="22"/>
          <w:szCs w:val="22"/>
          <w:lang w:val="bs-Latn-BA"/>
        </w:rPr>
      </w:pPr>
      <w:r w:rsidRPr="00033459">
        <w:rPr>
          <w:rFonts w:ascii="Cambria" w:hAnsi="Cambria"/>
          <w:sz w:val="22"/>
          <w:szCs w:val="22"/>
          <w:lang w:val="bs-Latn-BA"/>
        </w:rPr>
        <w:t>Analizom svih aktivnosti, statističkih pokazatelja i institucionalnog odgovora evidentno je da postoji uzlazni trend u prijavljivanju i prepoznavanju nasilja, kao i napredak u međuresorskoj saradnji i primjeni zakonom propisanih mjera zaštite. Međutim, kontinuirano praćenje, edukacija, međuinstitucionalna saradnja i podrška servisa za pomoć žrtvama ostaju ključni za dalji napredak u ovoj oblasti.</w:t>
      </w:r>
    </w:p>
    <w:p w:rsidR="00993B1F" w:rsidRPr="00033459" w:rsidRDefault="00E0089A" w:rsidP="002F596A">
      <w:pPr>
        <w:spacing w:line="240" w:lineRule="auto"/>
        <w:jc w:val="both"/>
        <w:rPr>
          <w:rFonts w:ascii="Cambria" w:eastAsia="Times New Roman" w:hAnsi="Cambria" w:cs="Times New Roman"/>
          <w:b/>
          <w:i/>
          <w:lang w:val="bs-Latn-BA"/>
        </w:rPr>
      </w:pPr>
      <w:r>
        <w:rPr>
          <w:rFonts w:ascii="Cambria" w:eastAsia="Times New Roman" w:hAnsi="Cambria" w:cs="Times New Roman"/>
          <w:b/>
          <w:i/>
          <w:lang w:val="bs-Latn-BA"/>
        </w:rPr>
        <w:t>Tabela br. 1</w:t>
      </w:r>
      <w:r w:rsidR="00942562" w:rsidRPr="00033459">
        <w:rPr>
          <w:rFonts w:ascii="Cambria" w:eastAsia="Times New Roman" w:hAnsi="Cambria" w:cs="Times New Roman"/>
          <w:b/>
          <w:i/>
          <w:lang w:val="bs-Latn-BA"/>
        </w:rPr>
        <w:t>: Pregled usluga</w:t>
      </w:r>
      <w:r w:rsidR="00E257D2" w:rsidRPr="00033459">
        <w:rPr>
          <w:rFonts w:ascii="Cambria" w:eastAsia="Times New Roman" w:hAnsi="Cambria" w:cs="Times New Roman"/>
          <w:b/>
          <w:i/>
          <w:lang w:val="bs-Latn-BA"/>
        </w:rPr>
        <w:t xml:space="preserve"> </w:t>
      </w:r>
      <w:r w:rsidR="00942562" w:rsidRPr="00033459">
        <w:rPr>
          <w:rFonts w:ascii="Cambria" w:eastAsia="Times New Roman" w:hAnsi="Cambria" w:cs="Times New Roman"/>
          <w:b/>
          <w:i/>
          <w:lang w:val="bs-Latn-BA"/>
        </w:rPr>
        <w:t>Udruženja Građana Vive žene za žrtve nasilja u porodici</w:t>
      </w:r>
    </w:p>
    <w:tbl>
      <w:tblPr>
        <w:tblStyle w:val="GridTable3-Accent1"/>
        <w:tblW w:w="8926" w:type="dxa"/>
        <w:tblLayout w:type="fixed"/>
        <w:tblLook w:val="0400" w:firstRow="0" w:lastRow="0" w:firstColumn="0" w:lastColumn="0" w:noHBand="0" w:noVBand="1"/>
      </w:tblPr>
      <w:tblGrid>
        <w:gridCol w:w="1333"/>
        <w:gridCol w:w="1680"/>
        <w:gridCol w:w="1201"/>
        <w:gridCol w:w="1237"/>
        <w:gridCol w:w="1386"/>
        <w:gridCol w:w="2089"/>
      </w:tblGrid>
      <w:tr w:rsidR="002F596A" w:rsidRPr="00033459" w:rsidTr="00E0089A">
        <w:trPr>
          <w:cnfStyle w:val="000000100000" w:firstRow="0" w:lastRow="0" w:firstColumn="0" w:lastColumn="0" w:oddVBand="0" w:evenVBand="0" w:oddHBand="1" w:evenHBand="0" w:firstRowFirstColumn="0" w:firstRowLastColumn="0" w:lastRowFirstColumn="0" w:lastRowLastColumn="0"/>
        </w:trPr>
        <w:tc>
          <w:tcPr>
            <w:tcW w:w="1333" w:type="dxa"/>
          </w:tcPr>
          <w:p w:rsidR="00993B1F" w:rsidRPr="00033459" w:rsidRDefault="00942562" w:rsidP="002F596A">
            <w:pPr>
              <w:jc w:val="both"/>
              <w:rPr>
                <w:rFonts w:ascii="Cambria" w:eastAsia="Times New Roman" w:hAnsi="Cambria" w:cs="Times New Roman"/>
                <w:b/>
                <w:bCs/>
                <w:lang w:val="bs-Latn-BA"/>
              </w:rPr>
            </w:pPr>
            <w:r w:rsidRPr="00033459">
              <w:rPr>
                <w:rFonts w:ascii="Cambria" w:eastAsia="Times New Roman" w:hAnsi="Cambria" w:cs="Times New Roman"/>
                <w:b/>
                <w:bCs/>
                <w:lang w:val="bs-Latn-BA"/>
              </w:rPr>
              <w:t>Godina</w:t>
            </w:r>
          </w:p>
        </w:tc>
        <w:tc>
          <w:tcPr>
            <w:tcW w:w="1680" w:type="dxa"/>
          </w:tcPr>
          <w:p w:rsidR="00993B1F" w:rsidRPr="00033459" w:rsidRDefault="00942562" w:rsidP="002F596A">
            <w:pPr>
              <w:jc w:val="both"/>
              <w:rPr>
                <w:rFonts w:ascii="Cambria" w:eastAsia="Times New Roman" w:hAnsi="Cambria" w:cs="Times New Roman"/>
                <w:b/>
                <w:bCs/>
                <w:lang w:val="bs-Latn-BA"/>
              </w:rPr>
            </w:pPr>
            <w:r w:rsidRPr="00033459">
              <w:rPr>
                <w:rFonts w:ascii="Cambria" w:eastAsia="Times New Roman" w:hAnsi="Cambria" w:cs="Times New Roman"/>
                <w:b/>
                <w:bCs/>
                <w:lang w:val="bs-Latn-BA"/>
              </w:rPr>
              <w:t>Broj poziva na SOS telefon</w:t>
            </w:r>
          </w:p>
        </w:tc>
        <w:tc>
          <w:tcPr>
            <w:tcW w:w="3824" w:type="dxa"/>
            <w:gridSpan w:val="3"/>
          </w:tcPr>
          <w:p w:rsidR="00993B1F" w:rsidRPr="00033459" w:rsidRDefault="00942562" w:rsidP="002F596A">
            <w:pPr>
              <w:jc w:val="both"/>
              <w:rPr>
                <w:rFonts w:ascii="Cambria" w:eastAsia="Times New Roman" w:hAnsi="Cambria" w:cs="Times New Roman"/>
                <w:b/>
                <w:bCs/>
                <w:lang w:val="bs-Latn-BA"/>
              </w:rPr>
            </w:pPr>
            <w:r w:rsidRPr="00033459">
              <w:rPr>
                <w:rFonts w:ascii="Cambria" w:eastAsia="Times New Roman" w:hAnsi="Cambria" w:cs="Times New Roman"/>
                <w:b/>
                <w:bCs/>
                <w:lang w:val="bs-Latn-BA"/>
              </w:rPr>
              <w:t>Broj korisnika usluge smještaja u Sigurnu kuću</w:t>
            </w:r>
          </w:p>
        </w:tc>
        <w:tc>
          <w:tcPr>
            <w:tcW w:w="2089" w:type="dxa"/>
          </w:tcPr>
          <w:p w:rsidR="00993B1F" w:rsidRPr="00033459" w:rsidRDefault="00942562" w:rsidP="002F596A">
            <w:pPr>
              <w:jc w:val="both"/>
              <w:rPr>
                <w:rFonts w:ascii="Cambria" w:eastAsia="Times New Roman" w:hAnsi="Cambria" w:cs="Times New Roman"/>
                <w:b/>
                <w:bCs/>
                <w:lang w:val="bs-Latn-BA"/>
              </w:rPr>
            </w:pPr>
            <w:r w:rsidRPr="00033459">
              <w:rPr>
                <w:rFonts w:ascii="Cambria" w:eastAsia="Times New Roman" w:hAnsi="Cambria" w:cs="Times New Roman"/>
                <w:b/>
                <w:bCs/>
                <w:lang w:val="bs-Latn-BA"/>
              </w:rPr>
              <w:t>Broj korisnika usluga dnevnog tretmana</w:t>
            </w:r>
          </w:p>
        </w:tc>
      </w:tr>
      <w:tr w:rsidR="002F596A" w:rsidRPr="00033459" w:rsidTr="00E0089A">
        <w:tc>
          <w:tcPr>
            <w:tcW w:w="1333" w:type="dxa"/>
          </w:tcPr>
          <w:p w:rsidR="00993B1F" w:rsidRPr="00033459" w:rsidRDefault="00993B1F" w:rsidP="002F596A">
            <w:pPr>
              <w:jc w:val="both"/>
              <w:rPr>
                <w:rFonts w:ascii="Cambria" w:eastAsia="Times New Roman" w:hAnsi="Cambria" w:cs="Times New Roman"/>
                <w:lang w:val="bs-Latn-BA"/>
              </w:rPr>
            </w:pPr>
          </w:p>
        </w:tc>
        <w:tc>
          <w:tcPr>
            <w:tcW w:w="1680" w:type="dxa"/>
          </w:tcPr>
          <w:p w:rsidR="00993B1F" w:rsidRPr="00033459" w:rsidRDefault="00993B1F" w:rsidP="002F596A">
            <w:pPr>
              <w:jc w:val="both"/>
              <w:rPr>
                <w:rFonts w:ascii="Cambria" w:eastAsia="Times New Roman" w:hAnsi="Cambria" w:cs="Times New Roman"/>
                <w:lang w:val="bs-Latn-BA"/>
              </w:rPr>
            </w:pPr>
          </w:p>
        </w:tc>
        <w:tc>
          <w:tcPr>
            <w:tcW w:w="1201" w:type="dxa"/>
          </w:tcPr>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Broj žena</w:t>
            </w:r>
          </w:p>
        </w:tc>
        <w:tc>
          <w:tcPr>
            <w:tcW w:w="1237" w:type="dxa"/>
          </w:tcPr>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Broj djece</w:t>
            </w:r>
          </w:p>
        </w:tc>
        <w:tc>
          <w:tcPr>
            <w:tcW w:w="1386" w:type="dxa"/>
          </w:tcPr>
          <w:p w:rsidR="00993B1F" w:rsidRPr="00033459" w:rsidRDefault="00942562" w:rsidP="002F596A">
            <w:pPr>
              <w:jc w:val="both"/>
              <w:rPr>
                <w:rFonts w:ascii="Cambria" w:eastAsia="Times New Roman" w:hAnsi="Cambria" w:cs="Times New Roman"/>
                <w:b/>
                <w:lang w:val="bs-Latn-BA"/>
              </w:rPr>
            </w:pPr>
            <w:r w:rsidRPr="00033459">
              <w:rPr>
                <w:rFonts w:ascii="Cambria" w:eastAsia="Times New Roman" w:hAnsi="Cambria" w:cs="Times New Roman"/>
                <w:b/>
                <w:lang w:val="bs-Latn-BA"/>
              </w:rPr>
              <w:t>Ukupno</w:t>
            </w:r>
          </w:p>
        </w:tc>
        <w:tc>
          <w:tcPr>
            <w:tcW w:w="2089" w:type="dxa"/>
          </w:tcPr>
          <w:p w:rsidR="00993B1F" w:rsidRPr="00033459" w:rsidRDefault="00993B1F" w:rsidP="002F596A">
            <w:pPr>
              <w:jc w:val="both"/>
              <w:rPr>
                <w:rFonts w:ascii="Cambria" w:eastAsia="Times New Roman" w:hAnsi="Cambria" w:cs="Times New Roman"/>
                <w:lang w:val="bs-Latn-BA"/>
              </w:rPr>
            </w:pPr>
          </w:p>
        </w:tc>
      </w:tr>
      <w:tr w:rsidR="002F596A" w:rsidRPr="00033459" w:rsidTr="00E0089A">
        <w:trPr>
          <w:cnfStyle w:val="000000100000" w:firstRow="0" w:lastRow="0" w:firstColumn="0" w:lastColumn="0" w:oddVBand="0" w:evenVBand="0" w:oddHBand="1" w:evenHBand="0" w:firstRowFirstColumn="0" w:firstRowLastColumn="0" w:lastRowFirstColumn="0" w:lastRowLastColumn="0"/>
        </w:trPr>
        <w:tc>
          <w:tcPr>
            <w:tcW w:w="1333" w:type="dxa"/>
          </w:tcPr>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2021.</w:t>
            </w:r>
          </w:p>
        </w:tc>
        <w:tc>
          <w:tcPr>
            <w:tcW w:w="1680"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52</w:t>
            </w:r>
          </w:p>
        </w:tc>
        <w:tc>
          <w:tcPr>
            <w:tcW w:w="1201"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52</w:t>
            </w:r>
          </w:p>
        </w:tc>
        <w:tc>
          <w:tcPr>
            <w:tcW w:w="1237"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54</w:t>
            </w:r>
          </w:p>
        </w:tc>
        <w:tc>
          <w:tcPr>
            <w:tcW w:w="1386"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106</w:t>
            </w:r>
          </w:p>
        </w:tc>
        <w:tc>
          <w:tcPr>
            <w:tcW w:w="2089"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276</w:t>
            </w:r>
          </w:p>
        </w:tc>
      </w:tr>
      <w:tr w:rsidR="002F596A" w:rsidRPr="00033459" w:rsidTr="00E0089A">
        <w:tc>
          <w:tcPr>
            <w:tcW w:w="1333" w:type="dxa"/>
          </w:tcPr>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2022.</w:t>
            </w:r>
          </w:p>
        </w:tc>
        <w:tc>
          <w:tcPr>
            <w:tcW w:w="1680"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52</w:t>
            </w:r>
          </w:p>
        </w:tc>
        <w:tc>
          <w:tcPr>
            <w:tcW w:w="1201"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55</w:t>
            </w:r>
          </w:p>
        </w:tc>
        <w:tc>
          <w:tcPr>
            <w:tcW w:w="1237"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47</w:t>
            </w:r>
          </w:p>
        </w:tc>
        <w:tc>
          <w:tcPr>
            <w:tcW w:w="1386"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102</w:t>
            </w:r>
          </w:p>
        </w:tc>
        <w:tc>
          <w:tcPr>
            <w:tcW w:w="2089"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221</w:t>
            </w:r>
          </w:p>
        </w:tc>
      </w:tr>
      <w:tr w:rsidR="002F596A" w:rsidRPr="00033459" w:rsidTr="00E0089A">
        <w:trPr>
          <w:cnfStyle w:val="000000100000" w:firstRow="0" w:lastRow="0" w:firstColumn="0" w:lastColumn="0" w:oddVBand="0" w:evenVBand="0" w:oddHBand="1" w:evenHBand="0" w:firstRowFirstColumn="0" w:firstRowLastColumn="0" w:lastRowFirstColumn="0" w:lastRowLastColumn="0"/>
        </w:trPr>
        <w:tc>
          <w:tcPr>
            <w:tcW w:w="1333" w:type="dxa"/>
          </w:tcPr>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2023</w:t>
            </w:r>
          </w:p>
        </w:tc>
        <w:tc>
          <w:tcPr>
            <w:tcW w:w="1680"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52</w:t>
            </w:r>
          </w:p>
        </w:tc>
        <w:tc>
          <w:tcPr>
            <w:tcW w:w="1201"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60</w:t>
            </w:r>
          </w:p>
        </w:tc>
        <w:tc>
          <w:tcPr>
            <w:tcW w:w="1237"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66</w:t>
            </w:r>
          </w:p>
        </w:tc>
        <w:tc>
          <w:tcPr>
            <w:tcW w:w="1386"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126</w:t>
            </w:r>
          </w:p>
        </w:tc>
        <w:tc>
          <w:tcPr>
            <w:tcW w:w="2089"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287</w:t>
            </w:r>
          </w:p>
        </w:tc>
      </w:tr>
      <w:tr w:rsidR="002F596A" w:rsidRPr="00033459" w:rsidTr="00E0089A">
        <w:tc>
          <w:tcPr>
            <w:tcW w:w="1333" w:type="dxa"/>
          </w:tcPr>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2024.</w:t>
            </w:r>
          </w:p>
        </w:tc>
        <w:tc>
          <w:tcPr>
            <w:tcW w:w="1680"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52</w:t>
            </w:r>
          </w:p>
        </w:tc>
        <w:tc>
          <w:tcPr>
            <w:tcW w:w="1201"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57</w:t>
            </w:r>
          </w:p>
        </w:tc>
        <w:tc>
          <w:tcPr>
            <w:tcW w:w="1237"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60</w:t>
            </w:r>
          </w:p>
        </w:tc>
        <w:tc>
          <w:tcPr>
            <w:tcW w:w="1386"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117</w:t>
            </w:r>
          </w:p>
        </w:tc>
        <w:tc>
          <w:tcPr>
            <w:tcW w:w="2089" w:type="dxa"/>
          </w:tcPr>
          <w:p w:rsidR="00993B1F" w:rsidRPr="00033459" w:rsidRDefault="00942562" w:rsidP="00E0089A">
            <w:pPr>
              <w:jc w:val="center"/>
              <w:rPr>
                <w:rFonts w:ascii="Cambria" w:eastAsia="Times New Roman" w:hAnsi="Cambria" w:cs="Times New Roman"/>
                <w:lang w:val="bs-Latn-BA"/>
              </w:rPr>
            </w:pPr>
            <w:r w:rsidRPr="00033459">
              <w:rPr>
                <w:rFonts w:ascii="Cambria" w:eastAsia="Times New Roman" w:hAnsi="Cambria" w:cs="Times New Roman"/>
                <w:lang w:val="bs-Latn-BA"/>
              </w:rPr>
              <w:t>192</w:t>
            </w:r>
          </w:p>
        </w:tc>
      </w:tr>
    </w:tbl>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U 2024.g. u Sigurnoj kući, na psihosocijalnom tretmanu je bilo 117 osoba. U poređenju sa 2023.g. nije zabilježen značajno veći broj smještenih osoba. Od ukupnog broja osoba 57 je</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 xml:space="preserve">osoba ženskog spola 60 djece. Od ukupnog broja djece 25 je dječaka i 35 djevojčica (tabela br.3). </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Pored smještaja u sigurnu kuću, udruženje građana „Vive Žene“ je obezbijedilo psiho-socijalni tretman za 192 osobe. Od ukupnog broja, 10 je muškaraca, 18 djece i 164 je osoba ženskog spola. Osobe su se uglavnom obraćale za pomoć zbog nasilja u porodici. U nastavku psihosocijalnog tretmana, ovim osobama je pruženo socijalno i pravno savjetovanje, psihoterapija, podrška psihologa, zdravstvena pomoć, prijava nasilja i animiranje drugih institucija za angažovanje na slučaju.</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Vlada Tuzlanskog kantona</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 xml:space="preserve">je tokom 2023.godine osigurala 114.000 KM za finansiranje sigurne kuće koja djeluje u okviru Udruženja građana Vive Žene Tuzla, a u 2024. godini obezbijeđena su sredstva u visini od 134.000,00 KM. </w:t>
      </w:r>
    </w:p>
    <w:p w:rsidR="002F596A" w:rsidRPr="002F596A" w:rsidRDefault="002F596A" w:rsidP="002F596A">
      <w:pPr>
        <w:spacing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Prema podacima Ministarstva unutrašnjih poslova Tuzlanskog kantona, tokom 2024. godine nadležnom Kantonalnom tužilaštvu podneseno je ukupno 244 izvještaja o učinjenom krivičnom djelu nasilja u porodici, što predstavlja povećanje od 17,9% u odnosu na 2023. godinu, kada je podneseno 207 izvještaja. Broj prijavljenih lica za navedeno krivično djelo u 2024. godini iznosio je 245, što je za 37 više u odnosu na prethodnu godinu. Među prijavljenima, 73 lica su evidentirana kao recidivisti.</w:t>
      </w:r>
    </w:p>
    <w:p w:rsidR="002F596A" w:rsidRPr="00033459" w:rsidRDefault="002F596A" w:rsidP="002F596A">
      <w:pPr>
        <w:spacing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U pogledu zahtjeva za izricanje zaštitnih mjera, tokom perioda januar–decembar 2024. godine, ovlaštena službena lica Uprave policije MUP TK podnijela su nadležnim op</w:t>
      </w:r>
      <w:r w:rsidR="00E542BE">
        <w:rPr>
          <w:rFonts w:ascii="Cambria" w:eastAsia="Times New Roman" w:hAnsi="Cambria" w:cs="Times New Roman"/>
          <w:lang w:val="bs-Latn-BA"/>
        </w:rPr>
        <w:t>ć</w:t>
      </w:r>
      <w:r w:rsidRPr="002F596A">
        <w:rPr>
          <w:rFonts w:ascii="Cambria" w:eastAsia="Times New Roman" w:hAnsi="Cambria" w:cs="Times New Roman"/>
          <w:lang w:val="bs-Latn-BA"/>
        </w:rPr>
        <w:t>inskim sudovima 395 zahtjeva za ukupno 932 zaštitne mjere (ne uključujući privremeno lišenje slobode i zadržavanje). Na osnovu tih zahtjeva, sudovi su donijeli 371 rješenje, kojim je izrečeno 863 zaštitne mjere. U poređenju s 2023. godinom, kada je bilo podneseno 230 zahtjeva za 516 zaštitnih mjera, a sudovi izrekli 223 rješenja za 485 mjera, jasno je vidljivo da je tokom 2024. godine došlo do značajnog porasta i u broju zahtjeva i u broju izrečenih zaštitnih mjera.</w:t>
      </w:r>
    </w:p>
    <w:p w:rsidR="002F596A" w:rsidRPr="002F596A" w:rsidRDefault="002F596A"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lastRenderedPageBreak/>
        <w:t xml:space="preserve">Sa ciljem dodatnog unapređenja odgovor na nasilje u porodici, </w:t>
      </w:r>
      <w:r w:rsidRPr="002F596A">
        <w:rPr>
          <w:rFonts w:ascii="Cambria" w:eastAsia="Times New Roman" w:hAnsi="Cambria" w:cs="Times New Roman"/>
          <w:lang w:val="bs-Latn-BA"/>
        </w:rPr>
        <w:t>Ministarstvo unutrašnjih poslova Tuzlanskog kantona, kroz djelovanje Uprave policije, tokom 2023. godine realizovalo je niz aktivnosti koje doprinose ostvarivanju ciljeva definisanih Gender akcionim planom Tuzlanskog kantona. Aktivnosti su bile fokusirane na prevenciju nasilja, edukaciju policijskih službenika i jačanje međusektorske saradnje.</w:t>
      </w:r>
    </w:p>
    <w:p w:rsidR="002F596A" w:rsidRPr="002F596A" w:rsidRDefault="002F596A" w:rsidP="002F596A">
      <w:pPr>
        <w:spacing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U okviru Programa prevencije, intervencije i resocijalizacije u oblasti maloljetničkog prestupništva, organizovano je 20 edukativnih predavanja i 5 preventivnih radionica u ukupno 19 osnovnih i srednjih škola na području kantona. Aktivnostima je prisustvovalo 1760 učenika, uz učešće nastavnog osoblja. Cilj je bio jačanje svijesti o društveno neprihvatljivim oblicima ponašanja i pružanje informacija o posljedicama nasilja.</w:t>
      </w:r>
    </w:p>
    <w:p w:rsidR="002F596A" w:rsidRPr="002F596A" w:rsidRDefault="002F596A" w:rsidP="002F596A">
      <w:pPr>
        <w:spacing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Shodno planu obuke na temu krivičnih djela počinjenih iz mržnje, tokom godine je 160 policijskih službenika uspješno završilo edukaciju. Obuke su bile usmjerene na prepoznavanje i procesuiranje djela počinjenih iz mržnje, s posebnim osvrtom na zaštitu žrtava.</w:t>
      </w:r>
    </w:p>
    <w:p w:rsidR="002F596A" w:rsidRPr="002F596A" w:rsidRDefault="002F596A" w:rsidP="002F596A">
      <w:pPr>
        <w:spacing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Policijski službenici su aktivno učestvovali u velikom broju edukativnih aktivnosti koje su organizovale druge policijske agencije, državne institucije, međunarodne organizacije i nevladine organizacije. Među temama koje su bile obrađene ističu se:</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Krivično-pravni odgovor na tehnološki potpomognuto rodno zasnovano nasilje (TFGBV)</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Rodno osjetljiv pristup i pristup usmjeren na žrtvu</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Saradnja policije i sudova u borbi protiv rodno uslovljenog nasilja</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Prevencija nasilja nad ženama i djevojčicama</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Uloga univerziteta u promociji rodne ravnopravnosti</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Seksualno nasilje – uzroci, posljedice, pravni okvir i uloga institucija</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Nasilje nad ženama sa invaliditetom</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Maloljetničko prestupništvo i potreba za unapređenjem programa za period 2024–2028</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Izrada i revidiranje akcionih planova za prevenciju i borbu protiv nasilja u porodici (2024–2026)</w:t>
      </w:r>
    </w:p>
    <w:p w:rsidR="002F596A" w:rsidRPr="002F596A" w:rsidRDefault="002F596A" w:rsidP="002F596A">
      <w:pPr>
        <w:numPr>
          <w:ilvl w:val="0"/>
          <w:numId w:val="11"/>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Strategija za unapređenje položaja starijih osoba u TK (2025–2030)</w:t>
      </w:r>
    </w:p>
    <w:p w:rsidR="002F596A" w:rsidRPr="00033459" w:rsidRDefault="002F596A" w:rsidP="002F596A">
      <w:pPr>
        <w:spacing w:after="0" w:line="240" w:lineRule="auto"/>
        <w:jc w:val="both"/>
        <w:rPr>
          <w:rFonts w:ascii="Cambria" w:eastAsia="Times New Roman" w:hAnsi="Cambria" w:cs="Times New Roman"/>
          <w:lang w:val="bs-Latn-BA"/>
        </w:rPr>
      </w:pPr>
    </w:p>
    <w:p w:rsidR="002F596A" w:rsidRPr="002F596A" w:rsidRDefault="002F596A" w:rsidP="002F596A">
      <w:p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MUP TK je učestvovao u više stručnih radnih sastanaka, panel diskusija i okruglih stolova. Neki od ključnih događaja uključuju:</w:t>
      </w:r>
    </w:p>
    <w:p w:rsidR="002F596A" w:rsidRPr="002F596A" w:rsidRDefault="002F596A" w:rsidP="002F596A">
      <w:pPr>
        <w:numPr>
          <w:ilvl w:val="0"/>
          <w:numId w:val="12"/>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Panel diskusija u okviru kampanje „Ne zatvarajmo oči – zaštitimo djecu na internetu“</w:t>
      </w:r>
    </w:p>
    <w:p w:rsidR="002F596A" w:rsidRPr="002F596A" w:rsidRDefault="002F596A" w:rsidP="002F596A">
      <w:pPr>
        <w:numPr>
          <w:ilvl w:val="0"/>
          <w:numId w:val="12"/>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Okrugli stolovi o intersektorskom pristupu u prevenciji nasilja</w:t>
      </w:r>
    </w:p>
    <w:p w:rsidR="002F596A" w:rsidRPr="002F596A" w:rsidRDefault="002F596A" w:rsidP="002F596A">
      <w:pPr>
        <w:numPr>
          <w:ilvl w:val="0"/>
          <w:numId w:val="12"/>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Sastanci u vezi sa Sporazumom o saradnji u projektu jačanja institucionalne zaštite žrtava</w:t>
      </w:r>
    </w:p>
    <w:p w:rsidR="002F596A" w:rsidRPr="002F596A" w:rsidRDefault="002F596A" w:rsidP="002F596A">
      <w:pPr>
        <w:numPr>
          <w:ilvl w:val="0"/>
          <w:numId w:val="12"/>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Razmatranje informacija o maloljetnicima za 2023. godinu</w:t>
      </w:r>
    </w:p>
    <w:p w:rsidR="002F596A" w:rsidRPr="002F596A" w:rsidRDefault="002F596A" w:rsidP="002F596A">
      <w:pPr>
        <w:numPr>
          <w:ilvl w:val="0"/>
          <w:numId w:val="12"/>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Učešće u radu Komisije za ravnopravnost spolova Skupštine TK</w:t>
      </w:r>
    </w:p>
    <w:p w:rsidR="002F596A" w:rsidRPr="00033459" w:rsidRDefault="002F596A" w:rsidP="002F596A">
      <w:pPr>
        <w:spacing w:after="0" w:line="240" w:lineRule="auto"/>
        <w:jc w:val="both"/>
        <w:rPr>
          <w:rFonts w:ascii="Cambria" w:eastAsia="Times New Roman" w:hAnsi="Cambria" w:cs="Times New Roman"/>
          <w:lang w:val="bs-Latn-BA"/>
        </w:rPr>
      </w:pPr>
    </w:p>
    <w:p w:rsidR="002F596A" w:rsidRPr="002F596A" w:rsidRDefault="002F596A" w:rsidP="002F596A">
      <w:p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Organizovane su različite edukacije za policijske službenike na teme:</w:t>
      </w:r>
    </w:p>
    <w:p w:rsidR="002F596A" w:rsidRPr="002F596A" w:rsidRDefault="002F596A" w:rsidP="002F596A">
      <w:pPr>
        <w:numPr>
          <w:ilvl w:val="0"/>
          <w:numId w:val="13"/>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Rodno zasnovano nasilje i seksualno uznemiravanje</w:t>
      </w:r>
    </w:p>
    <w:p w:rsidR="002F596A" w:rsidRPr="002F596A" w:rsidRDefault="002F596A" w:rsidP="002F596A">
      <w:pPr>
        <w:numPr>
          <w:ilvl w:val="0"/>
          <w:numId w:val="13"/>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Procesuiranje krivičnih djela uznemiravanja</w:t>
      </w:r>
    </w:p>
    <w:p w:rsidR="002F596A" w:rsidRPr="002F596A" w:rsidRDefault="002F596A" w:rsidP="002F596A">
      <w:pPr>
        <w:numPr>
          <w:ilvl w:val="0"/>
          <w:numId w:val="13"/>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Maloljetničko kazneno pravo – certifikacija za rad sa maloljetnicima</w:t>
      </w:r>
    </w:p>
    <w:p w:rsidR="002F596A" w:rsidRPr="002F596A" w:rsidRDefault="002F596A" w:rsidP="002F596A">
      <w:pPr>
        <w:numPr>
          <w:ilvl w:val="0"/>
          <w:numId w:val="13"/>
        </w:numPr>
        <w:spacing w:after="0" w:line="240" w:lineRule="auto"/>
        <w:jc w:val="both"/>
        <w:rPr>
          <w:rFonts w:ascii="Cambria" w:eastAsia="Times New Roman" w:hAnsi="Cambria" w:cs="Times New Roman"/>
          <w:lang w:val="bs-Latn-BA"/>
        </w:rPr>
      </w:pPr>
      <w:r w:rsidRPr="002F596A">
        <w:rPr>
          <w:rFonts w:ascii="Cambria" w:eastAsia="Times New Roman" w:hAnsi="Cambria" w:cs="Times New Roman"/>
          <w:lang w:val="bs-Latn-BA"/>
        </w:rPr>
        <w:t>Trening trenera za članove Skupštine TK i Koordinacionog tijela za prevenciju i borbu protiv nasilja u porodici, koji su rezultirali usvajanjem Rezolucije o borbi protiv svih oblika nasilja nad ženama</w:t>
      </w:r>
    </w:p>
    <w:p w:rsidR="002F596A" w:rsidRPr="00033459" w:rsidRDefault="002F596A" w:rsidP="002F596A">
      <w:pPr>
        <w:spacing w:line="240" w:lineRule="auto"/>
        <w:jc w:val="both"/>
        <w:rPr>
          <w:rFonts w:ascii="Cambria" w:eastAsia="Times New Roman" w:hAnsi="Cambria" w:cs="Times New Roman"/>
          <w:lang w:val="bs-Latn-BA"/>
        </w:rPr>
      </w:pP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Vlada Tuzlanskog kantona je odlukom broj: 02/1-31-13932/24 od 12.06.2024. godine i ove godine imenovala članove Koordinacionog tima za prevenciju i borbu protiv nasilja u porodici za područje Tuzlanskog kantona. Koordinacioni tim (KT) čine predstavnice: Ministarstva za rad, socijalnu politiku i povratak, Ministarstva unutrašnjih poslova, Ministarstva obrazovanja i nauke, Ministarstva za kulturu, sport i mlade, Ministarstva zdravstva, Ministarstva pravosuđa i uprave, Pedagoškog zavoda TK,</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 xml:space="preserve">Kantonalnog tužilaštva Tuzlanskog kantona, Foruma direktora centara za socijalni rad TK i Udruženja građana Vive Žene Tuzla. </w:t>
      </w: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lastRenderedPageBreak/>
        <w:t xml:space="preserve">Vlada TK redovno razmatra i usvaja godišnje izvještaje o </w:t>
      </w:r>
      <w:r w:rsidR="00E542BE" w:rsidRPr="00033459">
        <w:rPr>
          <w:rFonts w:ascii="Cambria" w:eastAsia="Times New Roman" w:hAnsi="Cambria" w:cs="Times New Roman"/>
          <w:lang w:val="bs-Latn-BA"/>
        </w:rPr>
        <w:t>realizaciji</w:t>
      </w:r>
      <w:r w:rsidRPr="00033459">
        <w:rPr>
          <w:rFonts w:ascii="Cambria" w:eastAsia="Times New Roman" w:hAnsi="Cambria" w:cs="Times New Roman"/>
          <w:lang w:val="bs-Latn-BA"/>
        </w:rPr>
        <w:t xml:space="preserve"> Akcionog plana. Tako je Izvještaj o realizaciji </w:t>
      </w:r>
      <w:r w:rsidR="00E542BE" w:rsidRPr="00033459">
        <w:rPr>
          <w:rFonts w:ascii="Cambria" w:eastAsia="Times New Roman" w:hAnsi="Cambria" w:cs="Times New Roman"/>
          <w:lang w:val="bs-Latn-BA"/>
        </w:rPr>
        <w:t>Akcionog</w:t>
      </w:r>
      <w:r w:rsidRPr="00033459">
        <w:rPr>
          <w:rFonts w:ascii="Cambria" w:eastAsia="Times New Roman" w:hAnsi="Cambria" w:cs="Times New Roman"/>
          <w:lang w:val="bs-Latn-BA"/>
        </w:rPr>
        <w:t xml:space="preserve"> plana za prevenciju i borbu protiv nasilja u porodici za područje Tuzlanskog kantona za 2023. godinu Usvojila Vlada TK zaključkom broj: 09/1-31-292/24 od 12.06.2024. godine. Radi se jedan izvještaj godišnje.</w:t>
      </w:r>
    </w:p>
    <w:p w:rsidR="002F596A" w:rsidRPr="00033459" w:rsidRDefault="002F596A" w:rsidP="002F596A">
      <w:pPr>
        <w:spacing w:line="240" w:lineRule="auto"/>
        <w:jc w:val="both"/>
        <w:rPr>
          <w:rFonts w:ascii="Cambria" w:eastAsia="Times New Roman" w:hAnsi="Cambria" w:cs="Times New Roman"/>
          <w:lang w:val="bs-Latn-BA"/>
        </w:rPr>
      </w:pPr>
    </w:p>
    <w:p w:rsidR="00993B1F" w:rsidRDefault="00942562" w:rsidP="002F596A">
      <w:pPr>
        <w:pStyle w:val="Heading2"/>
      </w:pPr>
      <w:bookmarkStart w:id="22" w:name="_heading=h.26in1rg" w:colFirst="0" w:colLast="0"/>
      <w:bookmarkStart w:id="23" w:name="_Toc195186410"/>
      <w:bookmarkEnd w:id="22"/>
      <w:r w:rsidRPr="00033459">
        <w:t>2.4. Osigurana ravnopravna zastupljenost osoba muškog i ženskog spola u tijelima nad kojima Kanton vrši nadzor</w:t>
      </w:r>
      <w:bookmarkEnd w:id="23"/>
    </w:p>
    <w:p w:rsidR="00E542BE" w:rsidRPr="00E542BE" w:rsidRDefault="00E542BE" w:rsidP="00E542BE">
      <w:pPr>
        <w:rPr>
          <w:lang w:val="bs-Latn-BA"/>
        </w:rPr>
      </w:pPr>
    </w:p>
    <w:p w:rsidR="00993B1F" w:rsidRPr="00033459" w:rsidRDefault="00942562" w:rsidP="00E542BE">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Bosna i Hercegovina je ostvarila značajan napredak na usklađivanju svog zakonodavnog okvira sa međunarodnim standardima i obavezama. Zakon o ravnopravnosti spolova Bosne i Hercegovine je usvojen 2003. godine, a izmjene i dopune su usvojene 2009. godine, pri čemu su poboljšane definicije i provedbene odredbe. Prečišćena verzija je objavljena 2010. godine. Zakon o ravnopravnosti spolova posebno obrađuje jednaku zastupljenost i javni život; definira da postoji jednaka zastupljenost muškaraca i žena ukoliko je jedan od spolova zastupljen sa najmanje 40% u tijelima javnog sektora na svim nivoima vlasti u Bosni i Hercegovini (državnom, entitetskom, kantonalnom i općinskom).</w:t>
      </w:r>
    </w:p>
    <w:p w:rsidR="00033459" w:rsidRPr="00033459" w:rsidRDefault="00942562" w:rsidP="002F596A">
      <w:pPr>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U skupštini TK trenutno je izabrano 35 poslanika, te je u aktuelnom sazivu izabrano 13 osoba ženskog spola odnosno 37% i 22 osobe muškog spola ili 63%.</w:t>
      </w:r>
      <w:r w:rsidR="00E257D2" w:rsidRPr="00033459">
        <w:rPr>
          <w:rFonts w:ascii="Cambria" w:eastAsia="Times New Roman" w:hAnsi="Cambria" w:cs="Times New Roman"/>
          <w:lang w:val="bs-Latn-BA"/>
        </w:rPr>
        <w:t xml:space="preserve"> Ovaj prosjek veći od učešća žena na drugim nivoima vlasti i iznad je prosjeka za kantonalne skupštine.</w:t>
      </w:r>
      <w:r w:rsidRPr="00033459">
        <w:rPr>
          <w:rFonts w:ascii="Cambria" w:eastAsia="Times New Roman" w:hAnsi="Cambria" w:cs="Times New Roman"/>
          <w:lang w:val="bs-Latn-BA"/>
        </w:rPr>
        <w:t xml:space="preserve"> </w:t>
      </w:r>
    </w:p>
    <w:p w:rsidR="00E542BE" w:rsidRPr="00033459" w:rsidRDefault="00E542BE" w:rsidP="002F596A">
      <w:pPr>
        <w:spacing w:line="276" w:lineRule="auto"/>
        <w:jc w:val="both"/>
        <w:rPr>
          <w:rFonts w:ascii="Cambria" w:eastAsia="Times New Roman" w:hAnsi="Cambria" w:cs="Times New Roman"/>
          <w:lang w:val="bs-Latn-BA"/>
        </w:rPr>
      </w:pPr>
    </w:p>
    <w:p w:rsidR="00033459" w:rsidRDefault="00942562" w:rsidP="002F596A">
      <w:pPr>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Predsjednik Skupštine je osoba muškog spola i ima dva zamjenika i to jedan zamjenik je muškog spola dok je druga ženskog spola.</w:t>
      </w:r>
      <w:r w:rsidR="00033459"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Osobe ženskog spola su predsjednici u 5 radnih tijela Skupštine Tuzlanskog kantona, a osobe muškog spola su predsjednici u 10 radnih tijela Skupštine Tuzlanskog kantona.</w:t>
      </w:r>
    </w:p>
    <w:p w:rsidR="00E0089A" w:rsidRDefault="00E0089A" w:rsidP="002F596A">
      <w:pPr>
        <w:spacing w:line="276" w:lineRule="auto"/>
        <w:jc w:val="both"/>
        <w:rPr>
          <w:rFonts w:ascii="Cambria" w:eastAsia="Times New Roman" w:hAnsi="Cambria" w:cs="Times New Roman"/>
          <w:lang w:val="bs-Latn-BA"/>
        </w:rPr>
      </w:pPr>
      <w:r>
        <w:rPr>
          <w:rFonts w:ascii="Cambria" w:eastAsia="Times New Roman" w:hAnsi="Cambria" w:cs="Times New Roman"/>
          <w:b/>
          <w:lang w:val="bs-Latn-BA"/>
        </w:rPr>
        <w:t>Tabela br: 2</w:t>
      </w:r>
      <w:r w:rsidRPr="00E0089A">
        <w:rPr>
          <w:rFonts w:ascii="Cambria" w:eastAsia="Times New Roman" w:hAnsi="Cambria" w:cs="Times New Roman"/>
          <w:b/>
          <w:lang w:val="bs-Latn-BA"/>
        </w:rPr>
        <w:t xml:space="preserve">. </w:t>
      </w:r>
      <w:r w:rsidRPr="00E0089A">
        <w:rPr>
          <w:rFonts w:ascii="Cambria" w:eastAsia="Times New Roman" w:hAnsi="Cambria" w:cs="Times New Roman"/>
          <w:lang w:val="bs-Latn-BA"/>
        </w:rPr>
        <w:t>pregled zastupljenosti osoba muškog i ženskog spola u Skupštini Tuzlanskog kantona i u radnim tijelima Skupštine Tuzlanskog kantona</w:t>
      </w:r>
    </w:p>
    <w:tbl>
      <w:tblPr>
        <w:tblStyle w:val="GridTable3-Accent1"/>
        <w:tblpPr w:leftFromText="180" w:rightFromText="180" w:topFromText="180" w:bottomFromText="180" w:vertAnchor="text" w:horzAnchor="margin" w:tblpXSpec="center" w:tblpY="243"/>
        <w:tblW w:w="8805" w:type="dxa"/>
        <w:tblLayout w:type="fixed"/>
        <w:tblLook w:val="0600" w:firstRow="0" w:lastRow="0" w:firstColumn="0" w:lastColumn="0" w:noHBand="1" w:noVBand="1"/>
      </w:tblPr>
      <w:tblGrid>
        <w:gridCol w:w="4742"/>
        <w:gridCol w:w="1477"/>
        <w:gridCol w:w="1249"/>
        <w:gridCol w:w="1337"/>
      </w:tblGrid>
      <w:tr w:rsidR="00E0089A" w:rsidRPr="00033459" w:rsidTr="00E0089A">
        <w:trPr>
          <w:trHeight w:val="649"/>
        </w:trPr>
        <w:tc>
          <w:tcPr>
            <w:tcW w:w="4742" w:type="dxa"/>
            <w:shd w:val="clear" w:color="auto" w:fill="44546A" w:themeFill="text2"/>
          </w:tcPr>
          <w:p w:rsidR="00E0089A" w:rsidRPr="00033459" w:rsidRDefault="00E0089A" w:rsidP="00E0089A">
            <w:pPr>
              <w:spacing w:line="276" w:lineRule="auto"/>
              <w:jc w:val="both"/>
              <w:rPr>
                <w:rFonts w:ascii="Cambria" w:eastAsia="Times New Roman" w:hAnsi="Cambria" w:cs="Times New Roman"/>
                <w:b/>
                <w:bCs/>
                <w:color w:val="FFFFFF" w:themeColor="background1"/>
                <w:lang w:val="bs-Latn-BA"/>
              </w:rPr>
            </w:pPr>
            <w:r w:rsidRPr="00033459">
              <w:rPr>
                <w:rFonts w:ascii="Cambria" w:eastAsia="Times New Roman" w:hAnsi="Cambria" w:cs="Times New Roman"/>
                <w:b/>
                <w:bCs/>
                <w:color w:val="FFFFFF" w:themeColor="background1"/>
                <w:lang w:val="bs-Latn-BA"/>
              </w:rPr>
              <w:t>Naziv tijela</w:t>
            </w:r>
          </w:p>
        </w:tc>
        <w:tc>
          <w:tcPr>
            <w:tcW w:w="1477" w:type="dxa"/>
            <w:shd w:val="clear" w:color="auto" w:fill="44546A" w:themeFill="text2"/>
          </w:tcPr>
          <w:p w:rsidR="00E0089A" w:rsidRPr="00033459" w:rsidRDefault="00E0089A" w:rsidP="00E0089A">
            <w:pPr>
              <w:spacing w:line="276" w:lineRule="auto"/>
              <w:jc w:val="center"/>
              <w:rPr>
                <w:rFonts w:ascii="Cambria" w:eastAsia="Times New Roman" w:hAnsi="Cambria" w:cs="Times New Roman"/>
                <w:b/>
                <w:bCs/>
                <w:color w:val="FFFFFF" w:themeColor="background1"/>
                <w:lang w:val="bs-Latn-BA"/>
              </w:rPr>
            </w:pPr>
            <w:r w:rsidRPr="00033459">
              <w:rPr>
                <w:rFonts w:ascii="Cambria" w:eastAsia="Times New Roman" w:hAnsi="Cambria" w:cs="Times New Roman"/>
                <w:b/>
                <w:bCs/>
                <w:color w:val="FFFFFF" w:themeColor="background1"/>
                <w:lang w:val="bs-Latn-BA"/>
              </w:rPr>
              <w:t>M</w:t>
            </w:r>
          </w:p>
        </w:tc>
        <w:tc>
          <w:tcPr>
            <w:tcW w:w="1249" w:type="dxa"/>
            <w:shd w:val="clear" w:color="auto" w:fill="44546A" w:themeFill="text2"/>
          </w:tcPr>
          <w:p w:rsidR="00E0089A" w:rsidRPr="00033459" w:rsidRDefault="00E0089A" w:rsidP="00E0089A">
            <w:pPr>
              <w:spacing w:line="276" w:lineRule="auto"/>
              <w:jc w:val="center"/>
              <w:rPr>
                <w:rFonts w:ascii="Cambria" w:eastAsia="Times New Roman" w:hAnsi="Cambria" w:cs="Times New Roman"/>
                <w:b/>
                <w:bCs/>
                <w:color w:val="FFFFFF" w:themeColor="background1"/>
                <w:lang w:val="bs-Latn-BA"/>
              </w:rPr>
            </w:pPr>
            <w:r w:rsidRPr="00033459">
              <w:rPr>
                <w:rFonts w:ascii="Cambria" w:eastAsia="Times New Roman" w:hAnsi="Cambria" w:cs="Times New Roman"/>
                <w:b/>
                <w:bCs/>
                <w:color w:val="FFFFFF" w:themeColor="background1"/>
                <w:lang w:val="bs-Latn-BA"/>
              </w:rPr>
              <w:t>Ž</w:t>
            </w:r>
          </w:p>
        </w:tc>
        <w:tc>
          <w:tcPr>
            <w:tcW w:w="1337" w:type="dxa"/>
            <w:shd w:val="clear" w:color="auto" w:fill="44546A" w:themeFill="text2"/>
          </w:tcPr>
          <w:p w:rsidR="00E0089A" w:rsidRPr="00033459" w:rsidRDefault="00E0089A" w:rsidP="00E0089A">
            <w:pPr>
              <w:spacing w:line="276" w:lineRule="auto"/>
              <w:jc w:val="center"/>
              <w:rPr>
                <w:rFonts w:ascii="Cambria" w:eastAsia="Times New Roman" w:hAnsi="Cambria" w:cs="Times New Roman"/>
                <w:b/>
                <w:bCs/>
                <w:color w:val="FFFFFF" w:themeColor="background1"/>
                <w:lang w:val="bs-Latn-BA"/>
              </w:rPr>
            </w:pPr>
            <w:r w:rsidRPr="00033459">
              <w:rPr>
                <w:rFonts w:ascii="Cambria" w:eastAsia="Times New Roman" w:hAnsi="Cambria" w:cs="Times New Roman"/>
                <w:b/>
                <w:bCs/>
                <w:color w:val="FFFFFF" w:themeColor="background1"/>
                <w:lang w:val="bs-Latn-BA"/>
              </w:rPr>
              <w:t>Ukupno</w:t>
            </w:r>
          </w:p>
        </w:tc>
      </w:tr>
      <w:tr w:rsidR="00E0089A" w:rsidRPr="00033459" w:rsidTr="00E0089A">
        <w:trPr>
          <w:trHeight w:val="426"/>
        </w:trPr>
        <w:tc>
          <w:tcPr>
            <w:tcW w:w="4742" w:type="dxa"/>
          </w:tcPr>
          <w:p w:rsidR="00E0089A" w:rsidRPr="00033459" w:rsidRDefault="00E0089A" w:rsidP="00E0089A">
            <w:pPr>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Skupština Tuzlanskog kantona</w:t>
            </w:r>
          </w:p>
        </w:tc>
        <w:tc>
          <w:tcPr>
            <w:tcW w:w="1477"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22</w:t>
            </w:r>
          </w:p>
        </w:tc>
        <w:tc>
          <w:tcPr>
            <w:tcW w:w="1249"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13</w:t>
            </w:r>
          </w:p>
        </w:tc>
        <w:tc>
          <w:tcPr>
            <w:tcW w:w="1337"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35</w:t>
            </w:r>
          </w:p>
        </w:tc>
      </w:tr>
      <w:tr w:rsidR="00E0089A" w:rsidRPr="00033459" w:rsidTr="00E0089A">
        <w:trPr>
          <w:trHeight w:val="426"/>
        </w:trPr>
        <w:tc>
          <w:tcPr>
            <w:tcW w:w="4742" w:type="dxa"/>
          </w:tcPr>
          <w:p w:rsidR="00E0089A" w:rsidRPr="00033459" w:rsidRDefault="00E0089A" w:rsidP="00E0089A">
            <w:pPr>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Predsjednik skupštine Tuzlanskog kantona</w:t>
            </w:r>
          </w:p>
        </w:tc>
        <w:tc>
          <w:tcPr>
            <w:tcW w:w="1477"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1</w:t>
            </w:r>
          </w:p>
        </w:tc>
        <w:tc>
          <w:tcPr>
            <w:tcW w:w="1249"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0</w:t>
            </w:r>
          </w:p>
        </w:tc>
        <w:tc>
          <w:tcPr>
            <w:tcW w:w="1337"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1</w:t>
            </w:r>
          </w:p>
        </w:tc>
      </w:tr>
      <w:tr w:rsidR="00E0089A" w:rsidRPr="00033459" w:rsidTr="00E0089A">
        <w:trPr>
          <w:trHeight w:val="423"/>
        </w:trPr>
        <w:tc>
          <w:tcPr>
            <w:tcW w:w="4742" w:type="dxa"/>
          </w:tcPr>
          <w:p w:rsidR="00E0089A" w:rsidRPr="00033459" w:rsidRDefault="00E0089A" w:rsidP="00E0089A">
            <w:pPr>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Zamjenik predsjednika Skupštine Tuzlanskog kantona</w:t>
            </w:r>
          </w:p>
        </w:tc>
        <w:tc>
          <w:tcPr>
            <w:tcW w:w="1477"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1</w:t>
            </w:r>
          </w:p>
        </w:tc>
        <w:tc>
          <w:tcPr>
            <w:tcW w:w="1249"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1</w:t>
            </w:r>
          </w:p>
        </w:tc>
        <w:tc>
          <w:tcPr>
            <w:tcW w:w="1337"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2</w:t>
            </w:r>
          </w:p>
        </w:tc>
      </w:tr>
      <w:tr w:rsidR="00E0089A" w:rsidRPr="00033459" w:rsidTr="00E0089A">
        <w:trPr>
          <w:trHeight w:val="653"/>
        </w:trPr>
        <w:tc>
          <w:tcPr>
            <w:tcW w:w="4742" w:type="dxa"/>
          </w:tcPr>
          <w:p w:rsidR="00E0089A" w:rsidRPr="00033459" w:rsidRDefault="00E0089A" w:rsidP="00E0089A">
            <w:pPr>
              <w:spacing w:line="276" w:lineRule="auto"/>
              <w:jc w:val="both"/>
              <w:rPr>
                <w:rFonts w:ascii="Cambria" w:eastAsia="Times New Roman" w:hAnsi="Cambria" w:cs="Times New Roman"/>
                <w:lang w:val="bs-Latn-BA"/>
              </w:rPr>
            </w:pPr>
            <w:r w:rsidRPr="00033459">
              <w:rPr>
                <w:rFonts w:ascii="Cambria" w:eastAsia="Times New Roman" w:hAnsi="Cambria" w:cs="Times New Roman"/>
                <w:lang w:val="bs-Latn-BA"/>
              </w:rPr>
              <w:t>Radna tijela Skupštine Tuzlanskog kantona</w:t>
            </w:r>
          </w:p>
        </w:tc>
        <w:tc>
          <w:tcPr>
            <w:tcW w:w="1477"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64</w:t>
            </w:r>
          </w:p>
        </w:tc>
        <w:tc>
          <w:tcPr>
            <w:tcW w:w="1249"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45</w:t>
            </w:r>
          </w:p>
        </w:tc>
        <w:tc>
          <w:tcPr>
            <w:tcW w:w="1337" w:type="dxa"/>
            <w:vAlign w:val="center"/>
          </w:tcPr>
          <w:p w:rsidR="00E0089A" w:rsidRPr="00033459" w:rsidRDefault="00E0089A" w:rsidP="00E0089A">
            <w:pPr>
              <w:spacing w:line="276" w:lineRule="auto"/>
              <w:jc w:val="center"/>
              <w:rPr>
                <w:rFonts w:ascii="Cambria" w:eastAsia="Times New Roman" w:hAnsi="Cambria" w:cs="Times New Roman"/>
                <w:b/>
                <w:bCs/>
                <w:lang w:val="bs-Latn-BA"/>
              </w:rPr>
            </w:pPr>
            <w:r w:rsidRPr="00033459">
              <w:rPr>
                <w:rFonts w:ascii="Cambria" w:eastAsia="Times New Roman" w:hAnsi="Cambria" w:cs="Times New Roman"/>
                <w:b/>
                <w:bCs/>
                <w:lang w:val="bs-Latn-BA"/>
              </w:rPr>
              <w:t>109</w:t>
            </w:r>
          </w:p>
        </w:tc>
      </w:tr>
    </w:tbl>
    <w:p w:rsidR="00E0089A" w:rsidRDefault="00E0089A" w:rsidP="002F596A">
      <w:pPr>
        <w:spacing w:line="276" w:lineRule="auto"/>
        <w:jc w:val="both"/>
        <w:rPr>
          <w:rFonts w:ascii="Cambria" w:eastAsia="Times New Roman" w:hAnsi="Cambria" w:cs="Times New Roman"/>
          <w:lang w:val="bs-Latn-BA" w:eastAsia="en-GB"/>
        </w:rPr>
      </w:pPr>
    </w:p>
    <w:p w:rsidR="00E0089A" w:rsidRDefault="00942562" w:rsidP="00E0089A">
      <w:pPr>
        <w:spacing w:line="276" w:lineRule="auto"/>
        <w:jc w:val="both"/>
        <w:rPr>
          <w:rFonts w:ascii="Cambria" w:eastAsia="Times New Roman" w:hAnsi="Cambria" w:cs="Times New Roman"/>
          <w:lang w:val="bs-Latn-BA" w:eastAsia="en-GB"/>
        </w:rPr>
      </w:pPr>
      <w:r w:rsidRPr="00033459">
        <w:rPr>
          <w:rFonts w:ascii="Cambria" w:eastAsia="Times New Roman" w:hAnsi="Cambria" w:cs="Times New Roman"/>
          <w:lang w:val="bs-Latn-BA" w:eastAsia="en-GB"/>
        </w:rPr>
        <w:t>A što se tiče predsjednika radnih tijela Skupštine Tuzlanskog kantona u prethodnom sazivu od 2019. do februara 2022. osobe ženskog spola bile su predsjednici u 8 radnih tijela, a od februara 2022. do oktobra iste godine u 7 radnih tijela Skupštine Tuzlanskog kantona.</w:t>
      </w:r>
      <w:bookmarkStart w:id="24" w:name="_Toc195186411"/>
    </w:p>
    <w:p w:rsidR="00E0089A" w:rsidRPr="00E0089A" w:rsidRDefault="00E0089A" w:rsidP="00E0089A">
      <w:pPr>
        <w:spacing w:line="276" w:lineRule="auto"/>
        <w:jc w:val="both"/>
        <w:rPr>
          <w:rFonts w:ascii="Cambria" w:eastAsia="Times New Roman" w:hAnsi="Cambria" w:cs="Times New Roman"/>
          <w:lang w:val="bs-Latn-BA" w:eastAsia="en-GB"/>
        </w:rPr>
      </w:pPr>
    </w:p>
    <w:p w:rsidR="00993B1F" w:rsidRPr="00033459" w:rsidRDefault="00942562" w:rsidP="002F596A">
      <w:pPr>
        <w:pStyle w:val="Heading2"/>
      </w:pPr>
      <w:r w:rsidRPr="00033459">
        <w:lastRenderedPageBreak/>
        <w:t>2.5. Unaprijeđeno zdravlje i seksualno i reproduktivno zdravlje</w:t>
      </w:r>
      <w:bookmarkEnd w:id="24"/>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b/>
          <w:lang w:val="bs-Latn-BA"/>
        </w:rPr>
        <w:t>V</w:t>
      </w:r>
      <w:r w:rsidRPr="00033459">
        <w:rPr>
          <w:rFonts w:ascii="Cambria" w:eastAsia="Times New Roman" w:hAnsi="Cambria" w:cs="Times New Roman"/>
          <w:lang w:val="bs-Latn-BA"/>
        </w:rPr>
        <w:t>ezano za aktivnost izrade vodiča za zdravstvene ustanove kakao na najbolji način da se postupa sa transrodnim i interspolnim osobama, aktivnosti koje je Ministarstvo zdravstva poduzimalo su sljedeće:</w:t>
      </w:r>
    </w:p>
    <w:p w:rsidR="004F32B1" w:rsidRPr="004F32B1" w:rsidRDefault="004F32B1" w:rsidP="002F596A">
      <w:pPr>
        <w:spacing w:line="240" w:lineRule="auto"/>
        <w:jc w:val="both"/>
        <w:rPr>
          <w:rFonts w:ascii="Cambria" w:eastAsia="Times New Roman" w:hAnsi="Cambria" w:cs="Times New Roman"/>
          <w:lang w:val="bs-Latn-BA" w:eastAsia="en-GB"/>
        </w:rPr>
      </w:pPr>
      <w:r w:rsidRPr="004F32B1">
        <w:rPr>
          <w:rFonts w:ascii="Cambria" w:eastAsia="Times New Roman" w:hAnsi="Cambria" w:cs="Times New Roman"/>
          <w:lang w:val="bs-Latn-BA" w:eastAsia="en-GB"/>
        </w:rPr>
        <w:t>U skladu sa ciljevima definisanim Gender akcionim planom Tuzlanskog kantona, predstavnici Ministarstva zdravstva Tuzlanskog kantona su tokom izvještajnog perioda učestvovali na ukupno četiri stručna događaja (sastanka i okrugla stola) koji su se odnosili na unapređenje zdravlja, uključujući seksualno i reproduktivno zdravlje s posebnim fokusom na marginalizirane i ranjive grupe, uključujući LGBTI osobe, a naročito transrodne osobe.</w:t>
      </w:r>
    </w:p>
    <w:p w:rsidR="00E542BE" w:rsidRDefault="004F32B1" w:rsidP="002F596A">
      <w:pPr>
        <w:spacing w:line="240" w:lineRule="auto"/>
        <w:jc w:val="both"/>
        <w:rPr>
          <w:rFonts w:ascii="Cambria" w:eastAsia="Times New Roman" w:hAnsi="Cambria" w:cs="Times New Roman"/>
          <w:lang w:val="bs-Latn-BA" w:eastAsia="en-GB"/>
        </w:rPr>
      </w:pPr>
      <w:r w:rsidRPr="004F32B1">
        <w:rPr>
          <w:rFonts w:ascii="Cambria" w:eastAsia="Times New Roman" w:hAnsi="Cambria" w:cs="Times New Roman"/>
          <w:lang w:val="bs-Latn-BA" w:eastAsia="en-GB"/>
        </w:rPr>
        <w:t xml:space="preserve">Dana 4. novembra 2022. godine, predstavnici Ministarstva su učestvovali na završnoj konferenciji pod nazivom </w:t>
      </w:r>
      <w:r w:rsidRPr="004F32B1">
        <w:rPr>
          <w:rFonts w:ascii="Cambria" w:eastAsia="Times New Roman" w:hAnsi="Cambria" w:cs="Times New Roman"/>
          <w:i/>
          <w:iCs/>
          <w:lang w:val="bs-Latn-BA" w:eastAsia="en-GB"/>
        </w:rPr>
        <w:t>„Ljudska prava transrodnih osoba između prava i medicine u BiH: stanje i mogućnosti“</w:t>
      </w:r>
      <w:r w:rsidRPr="004F32B1">
        <w:rPr>
          <w:rFonts w:ascii="Cambria" w:eastAsia="Times New Roman" w:hAnsi="Cambria" w:cs="Times New Roman"/>
          <w:lang w:val="bs-Latn-BA" w:eastAsia="en-GB"/>
        </w:rPr>
        <w:t xml:space="preserve">, održanoj u Sarajevu. Konferencija je realizovana u okviru projekta </w:t>
      </w:r>
      <w:r w:rsidRPr="004F32B1">
        <w:rPr>
          <w:rFonts w:ascii="Cambria" w:eastAsia="Times New Roman" w:hAnsi="Cambria" w:cs="Times New Roman"/>
          <w:i/>
          <w:iCs/>
          <w:lang w:val="bs-Latn-BA" w:eastAsia="en-GB"/>
        </w:rPr>
        <w:t>„Unapređenje prava i položaja transrodnih osoba u BiH“</w:t>
      </w:r>
      <w:r w:rsidRPr="004F32B1">
        <w:rPr>
          <w:rFonts w:ascii="Cambria" w:eastAsia="Times New Roman" w:hAnsi="Cambria" w:cs="Times New Roman"/>
          <w:lang w:val="bs-Latn-BA" w:eastAsia="en-GB"/>
        </w:rPr>
        <w:t>.</w:t>
      </w:r>
    </w:p>
    <w:p w:rsidR="00E542BE" w:rsidRDefault="004F32B1" w:rsidP="00E542BE">
      <w:pPr>
        <w:spacing w:line="240" w:lineRule="auto"/>
        <w:jc w:val="both"/>
        <w:rPr>
          <w:rFonts w:ascii="Cambria" w:eastAsia="Times New Roman" w:hAnsi="Cambria" w:cs="Times New Roman"/>
          <w:lang w:val="bs-Latn-BA" w:eastAsia="en-GB"/>
        </w:rPr>
      </w:pPr>
      <w:r w:rsidRPr="004F32B1">
        <w:rPr>
          <w:rFonts w:ascii="Cambria" w:eastAsia="Times New Roman" w:hAnsi="Cambria" w:cs="Times New Roman"/>
          <w:lang w:val="bs-Latn-BA" w:eastAsia="en-GB"/>
        </w:rPr>
        <w:t>Dana 10. i 11. juna 2022. godine, predstavnici Ministarstva zdravstva učestvovali su na radnom sastanku u organizaciji Sarajevskog otvorenog centra i zagovaračke grupe trans osoba i njihovih roditelja.</w:t>
      </w:r>
      <w:r w:rsidR="00E542BE">
        <w:rPr>
          <w:rFonts w:ascii="Cambria" w:eastAsia="Times New Roman" w:hAnsi="Cambria" w:cs="Times New Roman"/>
          <w:lang w:val="bs-Latn-BA" w:eastAsia="en-GB"/>
        </w:rPr>
        <w:t xml:space="preserve"> </w:t>
      </w:r>
      <w:r w:rsidRPr="004F32B1">
        <w:rPr>
          <w:rFonts w:ascii="Cambria" w:eastAsia="Times New Roman" w:hAnsi="Cambria" w:cs="Times New Roman"/>
          <w:lang w:val="bs-Latn-BA" w:eastAsia="en-GB"/>
        </w:rPr>
        <w:t>Na sastanku se razmatrala izrada javnih politika koje bi omogućile pokrivanje troškova prilagodbe spola transrodnim osobama putem sistema zdravstvenog osiguranja.</w:t>
      </w:r>
      <w:r w:rsidRPr="004F32B1">
        <w:rPr>
          <w:rFonts w:ascii="Cambria" w:eastAsia="Times New Roman" w:hAnsi="Cambria" w:cs="Times New Roman"/>
          <w:lang w:val="bs-Latn-BA" w:eastAsia="en-GB"/>
        </w:rPr>
        <w:br/>
        <w:t>Sastanku su prisustvovali predstavnici relevantnih zdravstvenih institucija, uključujući zavode i fondove zdravstvenog osiguranja, ministarstva zdravstva s različitih nivoa vlasti i ljekarske komore.</w:t>
      </w:r>
    </w:p>
    <w:p w:rsidR="00E542BE" w:rsidRDefault="004F32B1" w:rsidP="00E542BE">
      <w:pPr>
        <w:spacing w:line="240" w:lineRule="auto"/>
        <w:jc w:val="both"/>
        <w:rPr>
          <w:rFonts w:ascii="Cambria" w:eastAsia="Times New Roman" w:hAnsi="Cambria" w:cs="Times New Roman"/>
          <w:lang w:val="bs-Latn-BA" w:eastAsia="en-GB"/>
        </w:rPr>
      </w:pPr>
      <w:r w:rsidRPr="004F32B1">
        <w:rPr>
          <w:rFonts w:ascii="Cambria" w:eastAsia="Times New Roman" w:hAnsi="Cambria" w:cs="Times New Roman"/>
          <w:lang w:val="bs-Latn-BA" w:eastAsia="en-GB"/>
        </w:rPr>
        <w:br/>
        <w:t xml:space="preserve">Dana 12. decembra 2023. godine, predstavnici Ministarstva su prisustvovali okruglom stolu </w:t>
      </w:r>
      <w:r w:rsidRPr="004F32B1">
        <w:rPr>
          <w:rFonts w:ascii="Cambria" w:eastAsia="Times New Roman" w:hAnsi="Cambria" w:cs="Times New Roman"/>
          <w:i/>
          <w:iCs/>
          <w:lang w:val="bs-Latn-BA" w:eastAsia="en-GB"/>
        </w:rPr>
        <w:t>„Pristup zdravstvenoj zaštiti za LGBTI osobe u Bosni i Hercegovini“</w:t>
      </w:r>
      <w:r w:rsidRPr="004F32B1">
        <w:rPr>
          <w:rFonts w:ascii="Cambria" w:eastAsia="Times New Roman" w:hAnsi="Cambria" w:cs="Times New Roman"/>
          <w:lang w:val="bs-Latn-BA" w:eastAsia="en-GB"/>
        </w:rPr>
        <w:t>, održanom u Parlamentarnoj skupštini BiH, u organizaciji Agencije za ravnopravnost spolova BiH i Odjela za seksualnu orijentaciju i rodni identitet (SOGI) Savjeta Evrope.</w:t>
      </w:r>
      <w:r w:rsidR="00E542BE">
        <w:rPr>
          <w:rFonts w:ascii="Cambria" w:eastAsia="Times New Roman" w:hAnsi="Cambria" w:cs="Times New Roman"/>
          <w:lang w:val="bs-Latn-BA" w:eastAsia="en-GB"/>
        </w:rPr>
        <w:t xml:space="preserve"> </w:t>
      </w:r>
      <w:r w:rsidRPr="004F32B1">
        <w:rPr>
          <w:rFonts w:ascii="Cambria" w:eastAsia="Times New Roman" w:hAnsi="Cambria" w:cs="Times New Roman"/>
          <w:lang w:val="bs-Latn-BA" w:eastAsia="en-GB"/>
        </w:rPr>
        <w:t>Na ovom događaju prezentovan je preliminarni izvještaj Savjeta Evrope o pristupu LGBTI osoba zdravstvenim uslugama u BiH.</w:t>
      </w:r>
    </w:p>
    <w:p w:rsidR="00E0089A" w:rsidRDefault="004F32B1" w:rsidP="00E0089A">
      <w:pPr>
        <w:spacing w:line="240" w:lineRule="auto"/>
        <w:jc w:val="both"/>
        <w:rPr>
          <w:rFonts w:ascii="Cambria" w:eastAsia="Times New Roman" w:hAnsi="Cambria" w:cs="Times New Roman"/>
          <w:lang w:val="bs-Latn-BA"/>
        </w:rPr>
      </w:pPr>
      <w:r w:rsidRPr="004F32B1">
        <w:rPr>
          <w:rFonts w:ascii="Cambria" w:eastAsia="Times New Roman" w:hAnsi="Cambria" w:cs="Times New Roman"/>
          <w:lang w:val="bs-Latn-BA" w:eastAsia="en-GB"/>
        </w:rPr>
        <w:t>Ministarstvo zdravstva Tuzlanskog kantona je dopunilo izvještaj Savjeta Evrope dostavljanjem podataka o dostupnosti i primjeni HIV prevencijskih mjera, konkretno</w:t>
      </w:r>
      <w:r w:rsidR="00E542BE">
        <w:rPr>
          <w:rFonts w:ascii="Cambria" w:eastAsia="Times New Roman" w:hAnsi="Cambria" w:cs="Times New Roman"/>
          <w:lang w:val="bs-Latn-BA" w:eastAsia="en-GB"/>
        </w:rPr>
        <w:t xml:space="preserve"> </w:t>
      </w:r>
      <w:r w:rsidRPr="004F32B1">
        <w:rPr>
          <w:rFonts w:ascii="Cambria" w:eastAsia="Times New Roman" w:hAnsi="Cambria" w:cs="Times New Roman"/>
          <w:lang w:val="bs-Latn-BA" w:eastAsia="en-GB"/>
        </w:rPr>
        <w:t>PrEP (predekspozicijska profilaksa) i</w:t>
      </w:r>
      <w:r w:rsidR="00E542BE">
        <w:rPr>
          <w:rFonts w:ascii="Cambria" w:eastAsia="Times New Roman" w:hAnsi="Cambria" w:cs="Times New Roman"/>
          <w:lang w:val="bs-Latn-BA" w:eastAsia="en-GB"/>
        </w:rPr>
        <w:t xml:space="preserve"> </w:t>
      </w:r>
      <w:r w:rsidRPr="004F32B1">
        <w:rPr>
          <w:rFonts w:ascii="Cambria" w:eastAsia="Times New Roman" w:hAnsi="Cambria" w:cs="Times New Roman"/>
          <w:lang w:val="bs-Latn-BA" w:eastAsia="en-GB"/>
        </w:rPr>
        <w:t>PEP (postekspozicijska profilaksa),</w:t>
      </w:r>
      <w:r w:rsidR="00E542BE">
        <w:rPr>
          <w:rFonts w:ascii="Cambria" w:eastAsia="Times New Roman" w:hAnsi="Cambria" w:cs="Times New Roman"/>
          <w:lang w:val="bs-Latn-BA" w:eastAsia="en-GB"/>
        </w:rPr>
        <w:t xml:space="preserve"> </w:t>
      </w:r>
      <w:r w:rsidRPr="004F32B1">
        <w:rPr>
          <w:rFonts w:ascii="Cambria" w:eastAsia="Times New Roman" w:hAnsi="Cambria" w:cs="Times New Roman"/>
          <w:lang w:val="bs-Latn-BA" w:eastAsia="en-GB"/>
        </w:rPr>
        <w:t>koje se provode na Klinici za infektivne bolesti JZU UKC Tuzla.</w:t>
      </w:r>
      <w:bookmarkStart w:id="25" w:name="_Toc195186412"/>
    </w:p>
    <w:p w:rsidR="00E0089A" w:rsidRDefault="00E0089A" w:rsidP="00E0089A">
      <w:pPr>
        <w:spacing w:line="240" w:lineRule="auto"/>
        <w:jc w:val="both"/>
        <w:rPr>
          <w:rFonts w:ascii="Cambria" w:eastAsia="Times New Roman" w:hAnsi="Cambria" w:cs="Times New Roman"/>
          <w:lang w:val="bs-Latn-BA"/>
        </w:rPr>
      </w:pPr>
    </w:p>
    <w:p w:rsidR="00E0089A" w:rsidRDefault="00942562" w:rsidP="00E0089A">
      <w:pPr>
        <w:spacing w:line="240" w:lineRule="auto"/>
        <w:jc w:val="both"/>
        <w:rPr>
          <w:rFonts w:ascii="Cambria" w:hAnsi="Cambria"/>
          <w:b/>
          <w:color w:val="1F4E79" w:themeColor="accent1" w:themeShade="80"/>
          <w:lang w:val="bs-Latn-BA"/>
        </w:rPr>
      </w:pPr>
      <w:r w:rsidRPr="00E0089A">
        <w:rPr>
          <w:rFonts w:ascii="Cambria" w:hAnsi="Cambria"/>
          <w:b/>
          <w:color w:val="1F4E79" w:themeColor="accent1" w:themeShade="80"/>
          <w:lang w:val="bs-Latn-BA"/>
        </w:rPr>
        <w:t>3 SREDNJEROČNI CILJ 3. PRATI SE STANJE I SARAĐUJE SA DRUGIM AKTERIMA NA UNAPREĐENJU STANJA RAVNOPRAVNOSTI SPOLOVA</w:t>
      </w:r>
      <w:bookmarkEnd w:id="25"/>
    </w:p>
    <w:p w:rsidR="00E0089A" w:rsidRPr="00E0089A" w:rsidRDefault="00E0089A" w:rsidP="00E0089A">
      <w:pPr>
        <w:spacing w:line="240" w:lineRule="auto"/>
        <w:jc w:val="both"/>
        <w:rPr>
          <w:rFonts w:ascii="Cambria" w:hAnsi="Cambria"/>
          <w:b/>
          <w:color w:val="1F4E79" w:themeColor="accent1" w:themeShade="80"/>
          <w:lang w:val="bs-Latn-BA"/>
        </w:rPr>
      </w:pPr>
    </w:p>
    <w:p w:rsidR="00993B1F" w:rsidRPr="00033459" w:rsidRDefault="00942562" w:rsidP="002F596A">
      <w:pPr>
        <w:pStyle w:val="Heading2"/>
      </w:pPr>
      <w:bookmarkStart w:id="26" w:name="_heading=h.35nkun2" w:colFirst="0" w:colLast="0"/>
      <w:bookmarkStart w:id="27" w:name="_Toc195186413"/>
      <w:bookmarkEnd w:id="26"/>
      <w:r w:rsidRPr="00033459">
        <w:t>3.1. Kanton doprinosi promociji ravnopravnosti spolova</w:t>
      </w:r>
      <w:bookmarkEnd w:id="27"/>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 xml:space="preserve">Tokom 2023. godine institucije Kantona, uključujući Vladu i Skupštinu, su učestvovali u aktivnostima na promociji ravnopravnosti spolova. Ove aktivnosti su uključivale učešće predstavnika TK u aktivnostima koje je provodio Gender Centar Vlade FBIH, međunarodne i nevladine organizacije kao i davanje saopćenja povodom ključnih dana za ravnopravnost spolova. Aktivnosti na provođenju GAP TK su također doprinosile dizanju svijesti o ravnopravnosti spolova. </w:t>
      </w:r>
    </w:p>
    <w:p w:rsidR="004F32B1" w:rsidRPr="00033459" w:rsidRDefault="00E542BE" w:rsidP="002F596A">
      <w:pPr>
        <w:jc w:val="both"/>
        <w:rPr>
          <w:rFonts w:ascii="Cambria" w:eastAsia="Times New Roman" w:hAnsi="Cambria" w:cs="Times New Roman"/>
          <w:lang w:val="bs-Latn-BA"/>
        </w:rPr>
      </w:pPr>
      <w:r>
        <w:rPr>
          <w:rFonts w:ascii="Cambria" w:eastAsia="Times New Roman" w:hAnsi="Cambria" w:cs="Times New Roman"/>
          <w:lang w:val="bs-Latn-BA"/>
        </w:rPr>
        <w:t>Aktivnosti koje se odnose na promociju ravnopravnosti spolova su prikazane u pojedinačnim oblastima iz ovog izvještaja.</w:t>
      </w:r>
    </w:p>
    <w:p w:rsidR="00993B1F" w:rsidRPr="00033459" w:rsidRDefault="00993B1F" w:rsidP="002F596A">
      <w:pPr>
        <w:jc w:val="both"/>
        <w:rPr>
          <w:rFonts w:ascii="Cambria" w:eastAsia="Times New Roman" w:hAnsi="Cambria" w:cs="Times New Roman"/>
          <w:lang w:val="bs-Latn-BA"/>
        </w:rPr>
      </w:pPr>
    </w:p>
    <w:p w:rsidR="00993B1F" w:rsidRPr="00033459" w:rsidRDefault="00942562" w:rsidP="002F596A">
      <w:pPr>
        <w:pStyle w:val="Heading2"/>
      </w:pPr>
      <w:bookmarkStart w:id="28" w:name="_heading=h.1ksv4uv" w:colFirst="0" w:colLast="0"/>
      <w:bookmarkStart w:id="29" w:name="_Toc195186414"/>
      <w:bookmarkEnd w:id="28"/>
      <w:r w:rsidRPr="00033459">
        <w:lastRenderedPageBreak/>
        <w:t>3.2. Civilno društvo učestvuje u definiranju prioriteta za djelovanje u oblasti ravnopravnosti spolova</w:t>
      </w:r>
      <w:bookmarkEnd w:id="29"/>
    </w:p>
    <w:p w:rsidR="00993B1F" w:rsidRPr="00033459" w:rsidRDefault="00CC26AD" w:rsidP="002F596A">
      <w:pPr>
        <w:jc w:val="both"/>
        <w:rPr>
          <w:rFonts w:ascii="Cambria" w:eastAsia="Times New Roman" w:hAnsi="Cambria" w:cs="Times New Roman"/>
          <w:lang w:val="bs-Latn-BA"/>
        </w:rPr>
      </w:pPr>
      <w:sdt>
        <w:sdtPr>
          <w:rPr>
            <w:rFonts w:ascii="Cambria" w:hAnsi="Cambria"/>
            <w:lang w:val="bs-Latn-BA"/>
          </w:rPr>
          <w:tag w:val="goog_rdk_4"/>
          <w:id w:val="-932129148"/>
        </w:sdtPr>
        <w:sdtEndPr/>
        <w:sdtContent/>
      </w:sdt>
      <w:r w:rsidR="00942562" w:rsidRPr="00033459">
        <w:rPr>
          <w:rFonts w:ascii="Cambria" w:eastAsia="Times New Roman" w:hAnsi="Cambria" w:cs="Times New Roman"/>
          <w:lang w:val="bs-Latn-BA"/>
        </w:rPr>
        <w:t>Tuzlanski kanton redovno sarađuje sa nevladinim organizacijama koje djeluju na području Kantona uključujući i u oblasti ravnopravnosti spolova. Redovno se izdvajaju sredstva putem transfera neprofitnim organizacijama, a nevladine organizacije svojim aktivizmom daju veliki doprinos u oblasti ravnopravnosti spolova</w:t>
      </w:r>
      <w:r w:rsidR="00E542BE">
        <w:rPr>
          <w:rFonts w:ascii="Cambria" w:eastAsia="Times New Roman" w:hAnsi="Cambria" w:cs="Times New Roman"/>
          <w:lang w:val="bs-Latn-BA"/>
        </w:rPr>
        <w:t>.</w:t>
      </w:r>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Uz saglasnost Ministarstva obrazovanja i nauke TK i Pedagoškog zavoda TK sprovedene su aktivnosti u svrhu prevencije rondo zasnovanog nasilja u jednoj osnovnoj i dvije srednje škole na TK, preko 650 školske djece i 50 članova nastavnog osobolja su bili uključeni u projektne aktivnosti.</w:t>
      </w:r>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suradnji sa JU Služba za zapošljavanje TK kroz različite projekte organizovane su aktivnosti za preko 50 žena sa fokusom na smanjenje broja nezaposlenih žena.</w:t>
      </w:r>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 xml:space="preserve">U suradnji sa nevladinim organizacijama sa TK (Udruženje građana Informativni centar zaosobe sa invaliditetom "LOTOS" Tuzla, </w:t>
      </w:r>
      <w:r w:rsidRPr="00033459">
        <w:rPr>
          <w:rFonts w:ascii="Cambria" w:eastAsia="Times New Roman" w:hAnsi="Cambria" w:cs="Times New Roman"/>
          <w:highlight w:val="white"/>
          <w:lang w:val="bs-Latn-BA"/>
        </w:rPr>
        <w:t>Tuzlanski otvoreni centar, Revolt, Amica Educa, Fondacija tuzlanske zajednice, Nova ženska inicijativa, HO Horizonti, Vive Žene, Ženska vizija i Islamic relief, Vijeće za rodnu ravnopravnost Univerziteta u Tuzli</w:t>
      </w:r>
      <w:r w:rsidRPr="00033459">
        <w:rPr>
          <w:rFonts w:ascii="Cambria" w:eastAsia="Arial" w:hAnsi="Cambria" w:cs="Arial"/>
          <w:highlight w:val="white"/>
          <w:lang w:val="bs-Latn-BA"/>
        </w:rPr>
        <w:t>)</w:t>
      </w:r>
      <w:r w:rsidRPr="00033459">
        <w:rPr>
          <w:rFonts w:ascii="Cambria" w:eastAsia="Times New Roman" w:hAnsi="Cambria" w:cs="Times New Roman"/>
          <w:lang w:val="bs-Latn-BA"/>
        </w:rPr>
        <w:t>, organizovano je obilježavanje 8 marta sa performansom pod naslovom “Jesam li ja sljedeća?” u svrhu ukazivanja na problem femicida za oko 500 građana/ki.</w:t>
      </w:r>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U suradnji sa gore navedenim nevladinim organizacijama sa TK, organizovano je obilježavanje 16 dana borbe protiv rondo-zasnovanog nasilja sa uličnom kampanjom “Ona nije kriva”, oko 250 građana/ki dobilo informacije o oblicima nasilja i dostupnim oblicima pomoći. Polazeći od svega naprijed navedenog, predlaže se Vladi Kantona da nakon razmatranja Izvještaja o implementaciji Gender akcionog plana TK donese sljedeće:</w:t>
      </w:r>
      <w:r w:rsidR="00E257D2" w:rsidRPr="00033459">
        <w:rPr>
          <w:rFonts w:ascii="Cambria" w:eastAsia="Times New Roman" w:hAnsi="Cambria" w:cs="Times New Roman"/>
          <w:lang w:val="bs-Latn-BA"/>
        </w:rPr>
        <w:t xml:space="preserve"> </w:t>
      </w:r>
    </w:p>
    <w:p w:rsidR="00993B1F" w:rsidRPr="00033459" w:rsidRDefault="00E0089A" w:rsidP="00E0089A">
      <w:pPr>
        <w:rPr>
          <w:rFonts w:ascii="Cambria" w:eastAsia="Times New Roman" w:hAnsi="Cambria" w:cs="Times New Roman"/>
          <w:b/>
          <w:lang w:val="bs-Latn-BA"/>
        </w:rPr>
      </w:pPr>
      <w:r>
        <w:rPr>
          <w:rFonts w:ascii="Cambria" w:eastAsia="Times New Roman" w:hAnsi="Cambria" w:cs="Times New Roman"/>
          <w:b/>
          <w:lang w:val="bs-Latn-BA"/>
        </w:rPr>
        <w:t xml:space="preserve">                                                                           </w:t>
      </w:r>
      <w:r w:rsidR="00942562" w:rsidRPr="00033459">
        <w:rPr>
          <w:rFonts w:ascii="Cambria" w:eastAsia="Times New Roman" w:hAnsi="Cambria" w:cs="Times New Roman"/>
          <w:b/>
          <w:lang w:val="bs-Latn-BA"/>
        </w:rPr>
        <w:t>ZAKLJUČKE</w:t>
      </w:r>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1. Usvaja se Izvještaj o provođenju Gender akcioni plana Tuzlanskog kantona</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za period od 2021. do 2024. godine za period 01.01.2023. do 31.12.2023.godine</w:t>
      </w:r>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2. Zadužuju se sve nadležne institucije da u kontinuirano sprovode obaveze koje proizilaze iz Gender akcionog plana Tuzlanskog kantona za period od 2021. do 2024. godine i da, s tim u vezi, sarađuju sa Koordinacionim tijelom.</w:t>
      </w:r>
    </w:p>
    <w:p w:rsidR="00993B1F" w:rsidRPr="00033459" w:rsidRDefault="00942562" w:rsidP="002F596A">
      <w:pPr>
        <w:jc w:val="both"/>
        <w:rPr>
          <w:rFonts w:ascii="Cambria" w:eastAsia="Times New Roman" w:hAnsi="Cambria" w:cs="Times New Roman"/>
          <w:lang w:val="bs-Latn-BA"/>
        </w:rPr>
      </w:pPr>
      <w:r w:rsidRPr="00033459">
        <w:rPr>
          <w:rFonts w:ascii="Cambria" w:eastAsia="Times New Roman" w:hAnsi="Cambria" w:cs="Times New Roman"/>
          <w:lang w:val="bs-Latn-BA"/>
        </w:rPr>
        <w:t>3. Zadužuje se koordinacioni odbor da izvrši</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revidiranje GAP-a,</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odnosno izrada</w:t>
      </w:r>
      <w:r w:rsidR="00E257D2" w:rsidRPr="00033459">
        <w:rPr>
          <w:rFonts w:ascii="Cambria" w:eastAsia="Times New Roman" w:hAnsi="Cambria" w:cs="Times New Roman"/>
          <w:lang w:val="bs-Latn-BA"/>
        </w:rPr>
        <w:t xml:space="preserve"> </w:t>
      </w:r>
      <w:r w:rsidRPr="00033459">
        <w:rPr>
          <w:rFonts w:ascii="Cambria" w:eastAsia="Times New Roman" w:hAnsi="Cambria" w:cs="Times New Roman"/>
          <w:lang w:val="bs-Latn-BA"/>
        </w:rPr>
        <w:t>novog GAP-A TK za period 2025-2027. godina te isti dostavi Vladi TK na usvajanje u roku od 60 dana.</w:t>
      </w:r>
    </w:p>
    <w:p w:rsidR="00E0089A" w:rsidRDefault="00942562" w:rsidP="00E0089A">
      <w:pPr>
        <w:jc w:val="both"/>
        <w:rPr>
          <w:rFonts w:ascii="Cambria" w:eastAsia="Times New Roman" w:hAnsi="Cambria" w:cs="Times New Roman"/>
          <w:lang w:val="bs-Latn-BA"/>
        </w:rPr>
      </w:pPr>
      <w:r w:rsidRPr="00033459">
        <w:rPr>
          <w:rFonts w:ascii="Cambria" w:eastAsia="Times New Roman" w:hAnsi="Cambria" w:cs="Times New Roman"/>
          <w:lang w:val="bs-Latn-BA"/>
        </w:rPr>
        <w:t xml:space="preserve"> 4. Zadužuje se Ured Vlade da Izvještaj dostavi Skupštini TK.</w:t>
      </w:r>
    </w:p>
    <w:p w:rsidR="00E0089A" w:rsidRDefault="00E0089A" w:rsidP="002F596A">
      <w:pPr>
        <w:spacing w:line="240" w:lineRule="auto"/>
        <w:jc w:val="both"/>
        <w:rPr>
          <w:rFonts w:ascii="Cambria" w:eastAsia="Times New Roman" w:hAnsi="Cambria" w:cs="Times New Roman"/>
          <w:lang w:val="bs-Latn-BA"/>
        </w:rPr>
      </w:pPr>
      <w:r>
        <w:rPr>
          <w:rFonts w:ascii="Cambria" w:eastAsia="Times New Roman" w:hAnsi="Cambria" w:cs="Times New Roman"/>
          <w:lang w:val="bs-Latn-BA"/>
        </w:rPr>
        <w:t xml:space="preserve">       </w:t>
      </w:r>
    </w:p>
    <w:p w:rsidR="00E0089A" w:rsidRDefault="00E0089A" w:rsidP="002F596A">
      <w:pPr>
        <w:spacing w:line="240" w:lineRule="auto"/>
        <w:jc w:val="both"/>
        <w:rPr>
          <w:rFonts w:ascii="Cambria" w:eastAsia="Times New Roman" w:hAnsi="Cambria" w:cs="Times New Roman"/>
          <w:lang w:val="bs-Latn-BA"/>
        </w:rPr>
      </w:pPr>
    </w:p>
    <w:p w:rsidR="00993B1F" w:rsidRPr="00033459" w:rsidRDefault="00E0089A" w:rsidP="002F596A">
      <w:pPr>
        <w:spacing w:line="240" w:lineRule="auto"/>
        <w:jc w:val="both"/>
        <w:rPr>
          <w:rFonts w:ascii="Cambria" w:eastAsia="Times New Roman" w:hAnsi="Cambria" w:cs="Times New Roman"/>
          <w:lang w:val="bs-Latn-BA"/>
        </w:rPr>
      </w:pPr>
      <w:r>
        <w:rPr>
          <w:rFonts w:ascii="Cambria" w:eastAsia="Times New Roman" w:hAnsi="Cambria" w:cs="Times New Roman"/>
          <w:lang w:val="bs-Latn-BA"/>
        </w:rPr>
        <w:t xml:space="preserve"> </w:t>
      </w:r>
      <w:r w:rsidR="00E257D2" w:rsidRPr="00033459">
        <w:rPr>
          <w:rFonts w:ascii="Cambria" w:eastAsia="Times New Roman" w:hAnsi="Cambria" w:cs="Times New Roman"/>
          <w:lang w:val="bs-Latn-BA"/>
        </w:rPr>
        <w:t xml:space="preserve"> ZA KOORDINACIONI ODBOR</w:t>
      </w:r>
    </w:p>
    <w:p w:rsidR="00E0089A"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Doc.dr.sci. Edin Šestan, pomoćnik mini</w:t>
      </w:r>
      <w:r w:rsidR="00E0089A">
        <w:rPr>
          <w:rFonts w:ascii="Cambria" w:eastAsia="Times New Roman" w:hAnsi="Cambria" w:cs="Times New Roman"/>
          <w:lang w:val="bs-Latn-BA"/>
        </w:rPr>
        <w:t>stra</w:t>
      </w:r>
    </w:p>
    <w:p w:rsidR="00E0089A" w:rsidRDefault="00E0089A" w:rsidP="002F596A">
      <w:pPr>
        <w:spacing w:line="240" w:lineRule="auto"/>
        <w:jc w:val="both"/>
        <w:rPr>
          <w:rFonts w:ascii="Cambria" w:eastAsia="Times New Roman" w:hAnsi="Cambria" w:cs="Times New Roman"/>
          <w:lang w:val="bs-Latn-BA"/>
        </w:rPr>
      </w:pPr>
    </w:p>
    <w:p w:rsidR="00993B1F" w:rsidRPr="00033459" w:rsidRDefault="00942562" w:rsidP="002F596A">
      <w:pPr>
        <w:spacing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Dostavljeno:</w:t>
      </w:r>
      <w:r w:rsidR="00E257D2" w:rsidRPr="00033459">
        <w:rPr>
          <w:rFonts w:ascii="Cambria" w:eastAsia="Times New Roman" w:hAnsi="Cambria" w:cs="Times New Roman"/>
          <w:lang w:val="bs-Latn-BA"/>
        </w:rPr>
        <w:t xml:space="preserve"> </w:t>
      </w:r>
      <w:r w:rsidR="00E0089A">
        <w:rPr>
          <w:rFonts w:ascii="Cambria" w:eastAsia="Times New Roman" w:hAnsi="Cambria" w:cs="Times New Roman"/>
          <w:lang w:val="bs-Latn-BA"/>
        </w:rPr>
        <w:t xml:space="preserve">                                                                                                                    </w:t>
      </w:r>
      <w:r w:rsidRPr="00033459">
        <w:rPr>
          <w:rFonts w:ascii="Cambria" w:eastAsia="Times New Roman" w:hAnsi="Cambria" w:cs="Times New Roman"/>
          <w:lang w:val="bs-Latn-BA"/>
        </w:rPr>
        <w:t xml:space="preserve">M I N I S T A R </w:t>
      </w:r>
    </w:p>
    <w:p w:rsidR="00993B1F" w:rsidRPr="00033459" w:rsidRDefault="00942562" w:rsidP="00E0089A">
      <w:pPr>
        <w:spacing w:after="0"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1x Naslovu</w:t>
      </w:r>
    </w:p>
    <w:p w:rsidR="00993B1F" w:rsidRPr="00033459" w:rsidRDefault="00942562" w:rsidP="00E0089A">
      <w:pPr>
        <w:spacing w:after="0"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1x Evidencija</w:t>
      </w:r>
      <w:r w:rsidR="00E257D2" w:rsidRPr="00033459">
        <w:rPr>
          <w:rFonts w:ascii="Cambria" w:eastAsia="Times New Roman" w:hAnsi="Cambria" w:cs="Times New Roman"/>
          <w:lang w:val="bs-Latn-BA"/>
        </w:rPr>
        <w:t xml:space="preserve"> </w:t>
      </w:r>
      <w:r w:rsidR="00E0089A">
        <w:rPr>
          <w:rFonts w:ascii="Cambria" w:eastAsia="Times New Roman" w:hAnsi="Cambria" w:cs="Times New Roman"/>
          <w:lang w:val="bs-Latn-BA"/>
        </w:rPr>
        <w:t xml:space="preserve">                                                                                                                      </w:t>
      </w:r>
      <w:r w:rsidRPr="00033459">
        <w:rPr>
          <w:rFonts w:ascii="Cambria" w:eastAsia="Times New Roman" w:hAnsi="Cambria" w:cs="Times New Roman"/>
          <w:lang w:val="bs-Latn-BA"/>
        </w:rPr>
        <w:t>Fadil Alić</w:t>
      </w:r>
    </w:p>
    <w:p w:rsidR="00993B1F" w:rsidRPr="00033459" w:rsidRDefault="00942562" w:rsidP="00E0089A">
      <w:pPr>
        <w:spacing w:after="0" w:line="240" w:lineRule="auto"/>
        <w:jc w:val="both"/>
        <w:rPr>
          <w:rFonts w:ascii="Cambria" w:eastAsia="Times New Roman" w:hAnsi="Cambria" w:cs="Times New Roman"/>
          <w:lang w:val="bs-Latn-BA"/>
        </w:rPr>
      </w:pPr>
      <w:r w:rsidRPr="00033459">
        <w:rPr>
          <w:rFonts w:ascii="Cambria" w:eastAsia="Times New Roman" w:hAnsi="Cambria" w:cs="Times New Roman"/>
          <w:lang w:val="bs-Latn-BA"/>
        </w:rPr>
        <w:t>1x Arhiva</w:t>
      </w: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jc w:val="both"/>
        <w:rPr>
          <w:rFonts w:ascii="Cambria" w:eastAsia="Calibri" w:hAnsi="Cambria"/>
          <w:lang w:val="bs-Latn-BA"/>
        </w:rPr>
      </w:pPr>
    </w:p>
    <w:p w:rsidR="00993B1F" w:rsidRPr="00033459" w:rsidRDefault="00993B1F" w:rsidP="002F596A">
      <w:pPr>
        <w:spacing w:line="240" w:lineRule="auto"/>
        <w:jc w:val="both"/>
        <w:rPr>
          <w:rFonts w:ascii="Cambria" w:eastAsia="Times New Roman" w:hAnsi="Cambria" w:cs="Times New Roman"/>
          <w:lang w:val="bs-Latn-BA"/>
        </w:rPr>
      </w:pPr>
    </w:p>
    <w:p w:rsidR="00993B1F" w:rsidRPr="00033459" w:rsidRDefault="00993B1F" w:rsidP="002F596A">
      <w:pPr>
        <w:jc w:val="both"/>
        <w:rPr>
          <w:rFonts w:ascii="Cambria" w:hAnsi="Cambria"/>
          <w:lang w:val="bs-Latn-BA"/>
        </w:rPr>
      </w:pPr>
    </w:p>
    <w:p w:rsidR="00993B1F" w:rsidRPr="00033459" w:rsidRDefault="00993B1F" w:rsidP="002F596A">
      <w:pPr>
        <w:jc w:val="both"/>
        <w:rPr>
          <w:rFonts w:ascii="Cambria" w:hAnsi="Cambria"/>
          <w:lang w:val="bs-Latn-BA"/>
        </w:rPr>
      </w:pPr>
    </w:p>
    <w:p w:rsidR="00993B1F" w:rsidRPr="00033459" w:rsidRDefault="00993B1F" w:rsidP="002F596A">
      <w:pPr>
        <w:jc w:val="both"/>
        <w:rPr>
          <w:rFonts w:ascii="Cambria" w:hAnsi="Cambria"/>
          <w:lang w:val="bs-Latn-BA"/>
        </w:rPr>
      </w:pPr>
    </w:p>
    <w:sectPr w:rsidR="00993B1F" w:rsidRPr="00033459">
      <w:footerReference w:type="defaul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5FD" w:rsidRDefault="009175FD">
      <w:pPr>
        <w:spacing w:after="0" w:line="240" w:lineRule="auto"/>
      </w:pPr>
      <w:r>
        <w:separator/>
      </w:r>
    </w:p>
  </w:endnote>
  <w:endnote w:type="continuationSeparator" w:id="0">
    <w:p w:rsidR="009175FD" w:rsidRDefault="00917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D64ECAA2-D071-472F-8C2E-814CD5CAE20E}"/>
  </w:font>
  <w:font w:name="Calibri">
    <w:panose1 w:val="020F0502020204030204"/>
    <w:charset w:val="EE"/>
    <w:family w:val="swiss"/>
    <w:pitch w:val="variable"/>
    <w:sig w:usb0="E4002EFF" w:usb1="C200247B" w:usb2="00000009" w:usb3="00000000" w:csb0="000001FF" w:csb1="00000000"/>
    <w:embedRegular r:id="rId2" w:fontKey="{9FB10305-BD1F-4D5E-9FEA-B9E04E08C99E}"/>
    <w:embedBold r:id="rId3" w:fontKey="{4330EAE7-F4BD-4C20-9648-E1ED6C0ED83F}"/>
    <w:embedItalic r:id="rId4" w:fontKey="{70E587A4-1455-444D-9333-C85CC51ADD0A}"/>
  </w:font>
  <w:font w:name="Cambria">
    <w:panose1 w:val="02040503050406030204"/>
    <w:charset w:val="EE"/>
    <w:family w:val="roman"/>
    <w:pitch w:val="variable"/>
    <w:sig w:usb0="E00006FF" w:usb1="420024FF" w:usb2="02000000" w:usb3="00000000" w:csb0="0000019F" w:csb1="00000000"/>
    <w:embedRegular r:id="rId5" w:fontKey="{F23BE664-E650-48F9-997D-32451FCAB18E}"/>
    <w:embedBold r:id="rId6" w:fontKey="{A6B01EA1-4700-40B5-B665-822FCAECDF60}"/>
    <w:embedItalic r:id="rId7" w:fontKey="{335D103C-A306-44EA-B33B-3283A75CE532}"/>
    <w:embedBoldItalic r:id="rId8" w:fontKey="{4F29E603-319F-4648-B22A-D692FE36FBFB}"/>
  </w:font>
  <w:font w:name="Calibri Light">
    <w:panose1 w:val="020F0302020204030204"/>
    <w:charset w:val="EE"/>
    <w:family w:val="swiss"/>
    <w:pitch w:val="variable"/>
    <w:sig w:usb0="E4002EFF" w:usb1="C200247B" w:usb2="00000009" w:usb3="00000000" w:csb0="000001FF" w:csb1="00000000"/>
    <w:embedRegular r:id="rId9" w:fontKey="{892285F8-E3A7-4EDD-8024-2B15895B590F}"/>
    <w:embedItalic r:id="rId10" w:fontKey="{96D9F3AB-4819-45E6-93CD-8946952282AD}"/>
  </w:font>
  <w:font w:name="Verdana">
    <w:panose1 w:val="020B0604030504040204"/>
    <w:charset w:val="EE"/>
    <w:family w:val="swiss"/>
    <w:pitch w:val="variable"/>
    <w:sig w:usb0="A00006FF" w:usb1="4000205B" w:usb2="00000010" w:usb3="00000000" w:csb0="0000019F" w:csb1="00000000"/>
    <w:embedRegular r:id="rId11" w:fontKey="{A7583C9B-2E00-4B4E-BBD0-BA3E44EEF6CB}"/>
  </w:font>
  <w:font w:name="Segoe UI">
    <w:panose1 w:val="020B0502040204020203"/>
    <w:charset w:val="EE"/>
    <w:family w:val="swiss"/>
    <w:pitch w:val="variable"/>
    <w:sig w:usb0="E4002EFF" w:usb1="C000E47F" w:usb2="00000009" w:usb3="00000000" w:csb0="000001FF" w:csb1="00000000"/>
    <w:embedRegular r:id="rId12" w:fontKey="{BF222405-A2C4-43D0-AA59-36A197D0C5DB}"/>
  </w:font>
  <w:font w:name="Georgia">
    <w:panose1 w:val="02040502050405020303"/>
    <w:charset w:val="EE"/>
    <w:family w:val="roman"/>
    <w:pitch w:val="variable"/>
    <w:sig w:usb0="00000287" w:usb1="00000000" w:usb2="00000000" w:usb3="00000000" w:csb0="0000009F" w:csb1="00000000"/>
    <w:embedRegular r:id="rId13" w:fontKey="{3C56B363-7BA6-4C16-A31D-9F2CBC96F08E}"/>
    <w:embedItalic r:id="rId14" w:fontKey="{5AE2D8BF-9623-4EF6-B83B-7BF25036E269}"/>
  </w:font>
  <w:font w:name="Gill Sans MT">
    <w:panose1 w:val="020B0502020104020203"/>
    <w:charset w:val="EE"/>
    <w:family w:val="swiss"/>
    <w:pitch w:val="variable"/>
    <w:sig w:usb0="00000007" w:usb1="00000000" w:usb2="00000000" w:usb3="00000000" w:csb0="00000003" w:csb1="00000000"/>
    <w:embedRegular r:id="rId15" w:fontKey="{467FAB29-A98F-4A78-8668-88E030A061C9}"/>
    <w:embedBold r:id="rId16" w:fontKey="{C7710E4B-25E6-4C1F-B21A-054544E9C45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B1F" w:rsidRDefault="00942562">
    <w:pPr>
      <w:pBdr>
        <w:top w:val="nil"/>
        <w:left w:val="nil"/>
        <w:bottom w:val="nil"/>
        <w:right w:val="nil"/>
        <w:between w:val="nil"/>
      </w:pBdr>
      <w:tabs>
        <w:tab w:val="center" w:pos="4513"/>
        <w:tab w:val="right" w:pos="9026"/>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CC26AD">
      <w:rPr>
        <w:rFonts w:eastAsia="Calibri"/>
        <w:noProof/>
        <w:color w:val="000000"/>
      </w:rPr>
      <w:t>3</w:t>
    </w:r>
    <w:r>
      <w:rPr>
        <w:rFonts w:eastAsia="Calibri"/>
        <w:color w:val="000000"/>
      </w:rPr>
      <w:fldChar w:fldCharType="end"/>
    </w:r>
  </w:p>
  <w:p w:rsidR="00993B1F" w:rsidRDefault="00993B1F">
    <w:pPr>
      <w:pBdr>
        <w:top w:val="nil"/>
        <w:left w:val="nil"/>
        <w:bottom w:val="nil"/>
        <w:right w:val="nil"/>
        <w:between w:val="nil"/>
      </w:pBdr>
      <w:tabs>
        <w:tab w:val="center" w:pos="4513"/>
        <w:tab w:val="right" w:pos="9026"/>
      </w:tabs>
      <w:spacing w:after="0" w:line="240" w:lineRule="auto"/>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5FD" w:rsidRDefault="009175FD">
      <w:pPr>
        <w:spacing w:after="0" w:line="240" w:lineRule="auto"/>
      </w:pPr>
      <w:r>
        <w:separator/>
      </w:r>
    </w:p>
  </w:footnote>
  <w:footnote w:type="continuationSeparator" w:id="0">
    <w:p w:rsidR="009175FD" w:rsidRDefault="009175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34A8D"/>
    <w:multiLevelType w:val="multilevel"/>
    <w:tmpl w:val="780272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21690002"/>
    <w:multiLevelType w:val="multilevel"/>
    <w:tmpl w:val="F57AF23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 w15:restartNumberingAfterBreak="0">
    <w:nsid w:val="23261A14"/>
    <w:multiLevelType w:val="multilevel"/>
    <w:tmpl w:val="635E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DF49AD"/>
    <w:multiLevelType w:val="multilevel"/>
    <w:tmpl w:val="8EF8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85408"/>
    <w:multiLevelType w:val="multilevel"/>
    <w:tmpl w:val="FD9C1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865EBB"/>
    <w:multiLevelType w:val="multilevel"/>
    <w:tmpl w:val="F51265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352" w:hanging="360"/>
      </w:pPr>
    </w:lvl>
    <w:lvl w:ilvl="3">
      <w:start w:val="9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4870E5"/>
    <w:multiLevelType w:val="multilevel"/>
    <w:tmpl w:val="C87A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EA48EA"/>
    <w:multiLevelType w:val="multilevel"/>
    <w:tmpl w:val="104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E57BE3"/>
    <w:multiLevelType w:val="multilevel"/>
    <w:tmpl w:val="1B6A3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E030EB"/>
    <w:multiLevelType w:val="multilevel"/>
    <w:tmpl w:val="C410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F51DD5"/>
    <w:multiLevelType w:val="multilevel"/>
    <w:tmpl w:val="6B9E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272ED4"/>
    <w:multiLevelType w:val="multilevel"/>
    <w:tmpl w:val="6F3A8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4B7A5B"/>
    <w:multiLevelType w:val="multilevel"/>
    <w:tmpl w:val="80000F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DF93236"/>
    <w:multiLevelType w:val="multilevel"/>
    <w:tmpl w:val="E6A86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4B93301"/>
    <w:multiLevelType w:val="multilevel"/>
    <w:tmpl w:val="BE80AB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5" w15:restartNumberingAfterBreak="0">
    <w:nsid w:val="7D091643"/>
    <w:multiLevelType w:val="multilevel"/>
    <w:tmpl w:val="56C65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344830"/>
    <w:multiLevelType w:val="multilevel"/>
    <w:tmpl w:val="165E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0"/>
  </w:num>
  <w:num w:numId="4">
    <w:abstractNumId w:val="14"/>
  </w:num>
  <w:num w:numId="5">
    <w:abstractNumId w:val="4"/>
  </w:num>
  <w:num w:numId="6">
    <w:abstractNumId w:val="15"/>
  </w:num>
  <w:num w:numId="7">
    <w:abstractNumId w:val="1"/>
  </w:num>
  <w:num w:numId="8">
    <w:abstractNumId w:val="5"/>
  </w:num>
  <w:num w:numId="9">
    <w:abstractNumId w:val="11"/>
  </w:num>
  <w:num w:numId="10">
    <w:abstractNumId w:val="12"/>
  </w:num>
  <w:num w:numId="11">
    <w:abstractNumId w:val="9"/>
  </w:num>
  <w:num w:numId="12">
    <w:abstractNumId w:val="3"/>
  </w:num>
  <w:num w:numId="13">
    <w:abstractNumId w:val="16"/>
  </w:num>
  <w:num w:numId="14">
    <w:abstractNumId w:val="10"/>
  </w:num>
  <w:num w:numId="15">
    <w:abstractNumId w:val="2"/>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B1F"/>
    <w:rsid w:val="00033459"/>
    <w:rsid w:val="002F596A"/>
    <w:rsid w:val="004F32B1"/>
    <w:rsid w:val="00675486"/>
    <w:rsid w:val="00744078"/>
    <w:rsid w:val="009175FD"/>
    <w:rsid w:val="00942562"/>
    <w:rsid w:val="00993B1F"/>
    <w:rsid w:val="00CC26AD"/>
    <w:rsid w:val="00DD59C1"/>
    <w:rsid w:val="00E0089A"/>
    <w:rsid w:val="00E257D2"/>
    <w:rsid w:val="00E542BE"/>
    <w:rsid w:val="00FA6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F80021-B844-4C9E-AC3F-F6D67D21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bs-Latn-BA"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HAnsi"/>
      <w:lang w:val="en-GB" w:eastAsia="en-US"/>
    </w:rPr>
  </w:style>
  <w:style w:type="paragraph" w:styleId="Heading1">
    <w:name w:val="heading 1"/>
    <w:basedOn w:val="Normal"/>
    <w:uiPriority w:val="9"/>
    <w:qFormat/>
    <w:rsid w:val="002F596A"/>
    <w:pPr>
      <w:spacing w:line="240" w:lineRule="auto"/>
      <w:jc w:val="both"/>
      <w:outlineLvl w:val="0"/>
    </w:pPr>
    <w:rPr>
      <w:rFonts w:ascii="Cambria" w:eastAsia="Times New Roman" w:hAnsi="Cambria" w:cs="Times New Roman"/>
      <w:b/>
      <w:bCs/>
      <w:color w:val="1F4E79" w:themeColor="accent1" w:themeShade="80"/>
      <w:lang w:val="pl-PL"/>
    </w:rPr>
  </w:style>
  <w:style w:type="paragraph" w:styleId="Heading2">
    <w:name w:val="heading 2"/>
    <w:basedOn w:val="Normal"/>
    <w:next w:val="Normal"/>
    <w:uiPriority w:val="9"/>
    <w:unhideWhenUsed/>
    <w:qFormat/>
    <w:rsid w:val="002F596A"/>
    <w:pPr>
      <w:jc w:val="both"/>
      <w:outlineLvl w:val="1"/>
    </w:pPr>
    <w:rPr>
      <w:rFonts w:ascii="Cambria" w:eastAsia="Times New Roman" w:hAnsi="Cambria" w:cs="Times New Roman"/>
      <w:b/>
      <w:color w:val="44546A" w:themeColor="text2"/>
      <w:lang w:val="bs-Latn-B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widowControl w:val="0"/>
      <w:tabs>
        <w:tab w:val="left" w:pos="5103"/>
      </w:tabs>
      <w:autoSpaceDE w:val="0"/>
      <w:autoSpaceDN w:val="0"/>
      <w:spacing w:after="0" w:line="276" w:lineRule="auto"/>
      <w:ind w:left="100" w:right="4"/>
      <w:jc w:val="both"/>
    </w:pPr>
    <w:rPr>
      <w:rFonts w:asciiTheme="majorHAnsi" w:eastAsia="Verdana" w:hAnsiTheme="majorHAnsi" w:cs="Times New Roman"/>
      <w:lang w:val="bs-Latn-BA"/>
    </w:rPr>
  </w:style>
  <w:style w:type="paragraph" w:styleId="Footer">
    <w:name w:val="footer"/>
    <w:basedOn w:val="Normal"/>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customStyle="1" w:styleId="TOCNaslov1">
    <w:name w:val="TOC Naslov1"/>
    <w:basedOn w:val="Heading1"/>
    <w:next w:val="Normal"/>
    <w:uiPriority w:val="39"/>
    <w:unhideWhenUsed/>
    <w:qFormat/>
    <w:pPr>
      <w:spacing w:before="240" w:line="259" w:lineRule="auto"/>
      <w:jc w:val="left"/>
      <w:outlineLvl w:val="9"/>
    </w:pPr>
    <w:rPr>
      <w:rFonts w:asciiTheme="majorHAnsi" w:eastAsiaTheme="majorEastAsia" w:hAnsiTheme="majorHAnsi" w:cstheme="majorBidi"/>
      <w:b w:val="0"/>
      <w:sz w:val="32"/>
      <w:szCs w:val="32"/>
      <w:lang w:val="en-US"/>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F31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31292"/>
    <w:rPr>
      <w:rFonts w:ascii="Segoe UI" w:eastAsiaTheme="minorHAnsi" w:hAnsi="Segoe UI" w:cs="Segoe UI"/>
      <w:sz w:val="18"/>
      <w:szCs w:val="18"/>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HAnsi"/>
      <w:sz w:val="20"/>
      <w:szCs w:val="20"/>
      <w:lang w:val="en-GB" w:eastAsia="en-US"/>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4F32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F32B1"/>
    <w:rPr>
      <w:b/>
      <w:bCs/>
    </w:rPr>
  </w:style>
  <w:style w:type="table" w:styleId="GridTable1Light-Accent1">
    <w:name w:val="Grid Table 1 Light Accent 1"/>
    <w:basedOn w:val="TableNormal"/>
    <w:uiPriority w:val="46"/>
    <w:rsid w:val="002F596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F596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2F596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UnresolvedMention">
    <w:name w:val="Unresolved Mention"/>
    <w:basedOn w:val="DefaultParagraphFont"/>
    <w:uiPriority w:val="99"/>
    <w:semiHidden/>
    <w:unhideWhenUsed/>
    <w:rsid w:val="002F596A"/>
    <w:rPr>
      <w:color w:val="605E5C"/>
      <w:shd w:val="clear" w:color="auto" w:fill="E1DFDD"/>
    </w:rPr>
  </w:style>
  <w:style w:type="table" w:styleId="GridTable2-Accent5">
    <w:name w:val="Grid Table 2 Accent 5"/>
    <w:basedOn w:val="TableNormal"/>
    <w:uiPriority w:val="47"/>
    <w:rsid w:val="0003345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E542BE"/>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84383">
      <w:bodyDiv w:val="1"/>
      <w:marLeft w:val="0"/>
      <w:marRight w:val="0"/>
      <w:marTop w:val="0"/>
      <w:marBottom w:val="0"/>
      <w:divBdr>
        <w:top w:val="none" w:sz="0" w:space="0" w:color="auto"/>
        <w:left w:val="none" w:sz="0" w:space="0" w:color="auto"/>
        <w:bottom w:val="none" w:sz="0" w:space="0" w:color="auto"/>
        <w:right w:val="none" w:sz="0" w:space="0" w:color="auto"/>
      </w:divBdr>
    </w:div>
    <w:div w:id="532231862">
      <w:bodyDiv w:val="1"/>
      <w:marLeft w:val="0"/>
      <w:marRight w:val="0"/>
      <w:marTop w:val="0"/>
      <w:marBottom w:val="0"/>
      <w:divBdr>
        <w:top w:val="none" w:sz="0" w:space="0" w:color="auto"/>
        <w:left w:val="none" w:sz="0" w:space="0" w:color="auto"/>
        <w:bottom w:val="none" w:sz="0" w:space="0" w:color="auto"/>
        <w:right w:val="none" w:sz="0" w:space="0" w:color="auto"/>
      </w:divBdr>
    </w:div>
    <w:div w:id="577594326">
      <w:bodyDiv w:val="1"/>
      <w:marLeft w:val="0"/>
      <w:marRight w:val="0"/>
      <w:marTop w:val="0"/>
      <w:marBottom w:val="0"/>
      <w:divBdr>
        <w:top w:val="none" w:sz="0" w:space="0" w:color="auto"/>
        <w:left w:val="none" w:sz="0" w:space="0" w:color="auto"/>
        <w:bottom w:val="none" w:sz="0" w:space="0" w:color="auto"/>
        <w:right w:val="none" w:sz="0" w:space="0" w:color="auto"/>
      </w:divBdr>
    </w:div>
    <w:div w:id="744299961">
      <w:bodyDiv w:val="1"/>
      <w:marLeft w:val="0"/>
      <w:marRight w:val="0"/>
      <w:marTop w:val="0"/>
      <w:marBottom w:val="0"/>
      <w:divBdr>
        <w:top w:val="none" w:sz="0" w:space="0" w:color="auto"/>
        <w:left w:val="none" w:sz="0" w:space="0" w:color="auto"/>
        <w:bottom w:val="none" w:sz="0" w:space="0" w:color="auto"/>
        <w:right w:val="none" w:sz="0" w:space="0" w:color="auto"/>
      </w:divBdr>
    </w:div>
    <w:div w:id="749935606">
      <w:bodyDiv w:val="1"/>
      <w:marLeft w:val="0"/>
      <w:marRight w:val="0"/>
      <w:marTop w:val="0"/>
      <w:marBottom w:val="0"/>
      <w:divBdr>
        <w:top w:val="none" w:sz="0" w:space="0" w:color="auto"/>
        <w:left w:val="none" w:sz="0" w:space="0" w:color="auto"/>
        <w:bottom w:val="none" w:sz="0" w:space="0" w:color="auto"/>
        <w:right w:val="none" w:sz="0" w:space="0" w:color="auto"/>
      </w:divBdr>
    </w:div>
    <w:div w:id="759834633">
      <w:bodyDiv w:val="1"/>
      <w:marLeft w:val="0"/>
      <w:marRight w:val="0"/>
      <w:marTop w:val="0"/>
      <w:marBottom w:val="0"/>
      <w:divBdr>
        <w:top w:val="none" w:sz="0" w:space="0" w:color="auto"/>
        <w:left w:val="none" w:sz="0" w:space="0" w:color="auto"/>
        <w:bottom w:val="none" w:sz="0" w:space="0" w:color="auto"/>
        <w:right w:val="none" w:sz="0" w:space="0" w:color="auto"/>
      </w:divBdr>
    </w:div>
    <w:div w:id="826751489">
      <w:bodyDiv w:val="1"/>
      <w:marLeft w:val="0"/>
      <w:marRight w:val="0"/>
      <w:marTop w:val="0"/>
      <w:marBottom w:val="0"/>
      <w:divBdr>
        <w:top w:val="none" w:sz="0" w:space="0" w:color="auto"/>
        <w:left w:val="none" w:sz="0" w:space="0" w:color="auto"/>
        <w:bottom w:val="none" w:sz="0" w:space="0" w:color="auto"/>
        <w:right w:val="none" w:sz="0" w:space="0" w:color="auto"/>
      </w:divBdr>
    </w:div>
    <w:div w:id="1047218837">
      <w:bodyDiv w:val="1"/>
      <w:marLeft w:val="0"/>
      <w:marRight w:val="0"/>
      <w:marTop w:val="0"/>
      <w:marBottom w:val="0"/>
      <w:divBdr>
        <w:top w:val="none" w:sz="0" w:space="0" w:color="auto"/>
        <w:left w:val="none" w:sz="0" w:space="0" w:color="auto"/>
        <w:bottom w:val="none" w:sz="0" w:space="0" w:color="auto"/>
        <w:right w:val="none" w:sz="0" w:space="0" w:color="auto"/>
      </w:divBdr>
    </w:div>
    <w:div w:id="1924338961">
      <w:bodyDiv w:val="1"/>
      <w:marLeft w:val="0"/>
      <w:marRight w:val="0"/>
      <w:marTop w:val="0"/>
      <w:marBottom w:val="0"/>
      <w:divBdr>
        <w:top w:val="none" w:sz="0" w:space="0" w:color="auto"/>
        <w:left w:val="none" w:sz="0" w:space="0" w:color="auto"/>
        <w:bottom w:val="none" w:sz="0" w:space="0" w:color="auto"/>
        <w:right w:val="none" w:sz="0" w:space="0" w:color="auto"/>
      </w:divBdr>
    </w:div>
    <w:div w:id="1948848693">
      <w:bodyDiv w:val="1"/>
      <w:marLeft w:val="0"/>
      <w:marRight w:val="0"/>
      <w:marTop w:val="0"/>
      <w:marBottom w:val="0"/>
      <w:divBdr>
        <w:top w:val="none" w:sz="0" w:space="0" w:color="auto"/>
        <w:left w:val="none" w:sz="0" w:space="0" w:color="auto"/>
        <w:bottom w:val="none" w:sz="0" w:space="0" w:color="auto"/>
        <w:right w:val="none" w:sz="0" w:space="0" w:color="auto"/>
      </w:divBdr>
    </w:div>
    <w:div w:id="1951080401">
      <w:bodyDiv w:val="1"/>
      <w:marLeft w:val="0"/>
      <w:marRight w:val="0"/>
      <w:marTop w:val="0"/>
      <w:marBottom w:val="0"/>
      <w:divBdr>
        <w:top w:val="none" w:sz="0" w:space="0" w:color="auto"/>
        <w:left w:val="none" w:sz="0" w:space="0" w:color="auto"/>
        <w:bottom w:val="none" w:sz="0" w:space="0" w:color="auto"/>
        <w:right w:val="none" w:sz="0" w:space="0" w:color="auto"/>
      </w:divBdr>
    </w:div>
    <w:div w:id="2088845697">
      <w:bodyDiv w:val="1"/>
      <w:marLeft w:val="0"/>
      <w:marRight w:val="0"/>
      <w:marTop w:val="0"/>
      <w:marBottom w:val="0"/>
      <w:divBdr>
        <w:top w:val="none" w:sz="0" w:space="0" w:color="auto"/>
        <w:left w:val="none" w:sz="0" w:space="0" w:color="auto"/>
        <w:bottom w:val="none" w:sz="0" w:space="0" w:color="auto"/>
        <w:right w:val="none" w:sz="0" w:space="0" w:color="auto"/>
      </w:divBdr>
    </w:div>
    <w:div w:id="210595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www.mrspptk.gov.ba/"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microsoft.com/office/2007/relationships/diagramDrawing" Target="diagrams/drawing1.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92D9B2-D44F-4562-B3F6-85BB097F55C2}" type="doc">
      <dgm:prSet loTypeId="urn:microsoft.com/office/officeart/2005/8/layout/lProcess2" loCatId="list" qsTypeId="urn:microsoft.com/office/officeart/2005/8/quickstyle/simple1" qsCatId="simple" csTypeId="urn:microsoft.com/office/officeart/2005/8/colors/accent5_2" csCatId="accent5" phldr="1"/>
      <dgm:spPr/>
      <dgm:t>
        <a:bodyPr/>
        <a:lstStyle/>
        <a:p>
          <a:endParaRPr lang="en-GB"/>
        </a:p>
      </dgm:t>
    </dgm:pt>
    <dgm:pt modelId="{BFC5A5B4-D0E0-4ECC-99AF-268E7C080115}">
      <dgm:prSet phldrT="[Text]" custT="1"/>
      <dgm:spPr>
        <a:xfrm>
          <a:off x="22906" y="0"/>
          <a:ext cx="1885621" cy="4472940"/>
        </a:xfrm>
      </dgm:spPr>
      <dgm:t>
        <a:bodyPr/>
        <a:lstStyle/>
        <a:p>
          <a:pPr algn="ctr">
            <a:buNone/>
          </a:pPr>
          <a:r>
            <a:rPr lang="bs-Latn-BA" sz="1200" b="1" u="none">
              <a:latin typeface="Cambria"/>
              <a:ea typeface="+mn-ea"/>
              <a:cs typeface="+mn-cs"/>
            </a:rPr>
            <a:t>Srednjeročni cilj 1.</a:t>
          </a:r>
        </a:p>
        <a:p>
          <a:pPr algn="ctr">
            <a:buNone/>
          </a:pPr>
          <a:r>
            <a:rPr lang="bs-Latn-BA" sz="1200" b="0" u="none">
              <a:latin typeface="Cambria"/>
              <a:ea typeface="+mn-ea"/>
              <a:cs typeface="+mn-cs"/>
            </a:rPr>
            <a:t>Ministarstva i službe djeluju za ravnopravnost spolova</a:t>
          </a:r>
          <a:endParaRPr lang="en-GB" sz="1200" b="0" u="none">
            <a:latin typeface="Cambria"/>
            <a:ea typeface="+mn-ea"/>
            <a:cs typeface="+mn-cs"/>
          </a:endParaRPr>
        </a:p>
      </dgm:t>
    </dgm:pt>
    <dgm:pt modelId="{C1CEA269-8B8E-4F7B-A4F4-BA18391E6C66}" type="parTrans" cxnId="{1E8496EE-203C-41FE-870D-23B3C3B432C8}">
      <dgm:prSet/>
      <dgm:spPr/>
      <dgm:t>
        <a:bodyPr/>
        <a:lstStyle/>
        <a:p>
          <a:pPr algn="ctr"/>
          <a:endParaRPr lang="en-GB" sz="1200"/>
        </a:p>
      </dgm:t>
    </dgm:pt>
    <dgm:pt modelId="{546429B6-16A9-4B84-A81D-2F5F44AB1BD6}" type="sibTrans" cxnId="{1E8496EE-203C-41FE-870D-23B3C3B432C8}">
      <dgm:prSet/>
      <dgm:spPr/>
      <dgm:t>
        <a:bodyPr/>
        <a:lstStyle/>
        <a:p>
          <a:pPr algn="ctr"/>
          <a:endParaRPr lang="en-GB" sz="1200"/>
        </a:p>
      </dgm:t>
    </dgm:pt>
    <dgm:pt modelId="{4D8A4AE3-5B9E-4D50-A2A0-EBEC2959D23B}">
      <dgm:prSet phldrT="[Text]" custT="1"/>
      <dgm:spPr>
        <a:xfrm>
          <a:off x="2027322" y="0"/>
          <a:ext cx="1674960" cy="4472940"/>
        </a:xfrm>
      </dgm:spPr>
      <dgm:t>
        <a:bodyPr/>
        <a:lstStyle/>
        <a:p>
          <a:pPr algn="ctr">
            <a:buFont typeface="Times New Roman" panose="02020603050405020304" pitchFamily="18" charset="0"/>
            <a:buNone/>
          </a:pPr>
          <a:r>
            <a:rPr lang="bs-Latn-BA" sz="1200" b="1" u="none">
              <a:latin typeface="Cambria"/>
              <a:ea typeface="+mn-ea"/>
              <a:cs typeface="+mn-cs"/>
            </a:rPr>
            <a:t>Srednjeročni cilj 2.</a:t>
          </a:r>
          <a:r>
            <a:rPr lang="bs-Latn-BA" sz="1200" b="0" u="none">
              <a:latin typeface="Cambria"/>
              <a:ea typeface="+mn-ea"/>
              <a:cs typeface="+mn-cs"/>
            </a:rPr>
            <a:t> </a:t>
          </a:r>
        </a:p>
        <a:p>
          <a:pPr algn="ctr">
            <a:buFont typeface="Times New Roman" panose="02020603050405020304" pitchFamily="18" charset="0"/>
            <a:buNone/>
          </a:pPr>
          <a:r>
            <a:rPr lang="bs-Latn-BA" sz="1200" b="0" u="none">
              <a:latin typeface="Cambria"/>
              <a:ea typeface="+mn-ea"/>
              <a:cs typeface="+mn-cs"/>
            </a:rPr>
            <a:t>Unapređeno je stanje ravnopravnosti spolova na području</a:t>
          </a:r>
          <a:endParaRPr lang="en-GB" sz="1200" b="0" u="none">
            <a:latin typeface="Cambria"/>
            <a:ea typeface="+mn-ea"/>
            <a:cs typeface="+mn-cs"/>
          </a:endParaRPr>
        </a:p>
      </dgm:t>
    </dgm:pt>
    <dgm:pt modelId="{ED927EE5-1F16-4664-B987-03324CE1DE73}" type="sibTrans" cxnId="{86586A69-C2FE-4527-B806-E52F0FFF2033}">
      <dgm:prSet/>
      <dgm:spPr/>
      <dgm:t>
        <a:bodyPr/>
        <a:lstStyle/>
        <a:p>
          <a:pPr algn="ctr"/>
          <a:endParaRPr lang="en-GB" sz="1200"/>
        </a:p>
      </dgm:t>
    </dgm:pt>
    <dgm:pt modelId="{7D66E326-DAA3-41D5-A1C5-BA95E23446C0}" type="parTrans" cxnId="{86586A69-C2FE-4527-B806-E52F0FFF2033}">
      <dgm:prSet/>
      <dgm:spPr/>
      <dgm:t>
        <a:bodyPr/>
        <a:lstStyle/>
        <a:p>
          <a:pPr algn="ctr"/>
          <a:endParaRPr lang="en-GB" sz="1200"/>
        </a:p>
      </dgm:t>
    </dgm:pt>
    <dgm:pt modelId="{3DBD36B3-895B-4945-995F-347340854CA7}">
      <dgm:prSet custT="1"/>
      <dgm:spPr>
        <a:xfrm>
          <a:off x="2110553" y="1342728"/>
          <a:ext cx="1508497" cy="517456"/>
        </a:xfrm>
      </dgm:spPr>
      <dgm:t>
        <a:bodyPr/>
        <a:lstStyle/>
        <a:p>
          <a:pPr algn="ctr">
            <a:buNone/>
          </a:pPr>
          <a:r>
            <a:rPr lang="en-GB" sz="800" b="0" u="none">
              <a:ln/>
              <a:latin typeface="Cambria"/>
              <a:ea typeface="+mn-ea"/>
              <a:cs typeface="+mn-cs"/>
            </a:rPr>
            <a:t>2.1. Obrazovni sektor doprinosi ravnopravnosti spolova</a:t>
          </a:r>
        </a:p>
      </dgm:t>
    </dgm:pt>
    <dgm:pt modelId="{D03A9EC0-62BC-4884-923A-1C45567F53F4}" type="sibTrans" cxnId="{9085C025-E678-4646-BB35-1408A583077D}">
      <dgm:prSet/>
      <dgm:spPr/>
      <dgm:t>
        <a:bodyPr/>
        <a:lstStyle/>
        <a:p>
          <a:pPr algn="ctr"/>
          <a:endParaRPr lang="en-GB" sz="1200"/>
        </a:p>
      </dgm:t>
    </dgm:pt>
    <dgm:pt modelId="{23C6C05B-73DA-4050-BA90-C5F722A99B80}" type="parTrans" cxnId="{9085C025-E678-4646-BB35-1408A583077D}">
      <dgm:prSet/>
      <dgm:spPr/>
      <dgm:t>
        <a:bodyPr/>
        <a:lstStyle/>
        <a:p>
          <a:pPr algn="ctr"/>
          <a:endParaRPr lang="en-GB" sz="1200"/>
        </a:p>
      </dgm:t>
    </dgm:pt>
    <dgm:pt modelId="{AE24C239-1508-4755-819F-5E87AEBD125C}">
      <dgm:prSet custT="1"/>
      <dgm:spPr>
        <a:xfrm>
          <a:off x="3843704" y="0"/>
          <a:ext cx="1885621" cy="4472940"/>
        </a:xfrm>
      </dgm:spPr>
      <dgm:t>
        <a:bodyPr/>
        <a:lstStyle/>
        <a:p>
          <a:pPr algn="ctr">
            <a:buFont typeface="Times New Roman" panose="02020603050405020304" pitchFamily="18" charset="0"/>
            <a:buNone/>
          </a:pPr>
          <a:endParaRPr lang="bs-Latn-BA" sz="900" b="1" u="none">
            <a:latin typeface="Cambria"/>
            <a:ea typeface="+mn-ea"/>
            <a:cs typeface="+mn-cs"/>
          </a:endParaRPr>
        </a:p>
        <a:p>
          <a:pPr algn="ctr">
            <a:buFont typeface="Times New Roman" panose="02020603050405020304" pitchFamily="18" charset="0"/>
            <a:buNone/>
          </a:pPr>
          <a:r>
            <a:rPr lang="bs-Latn-BA" sz="1200" b="1" u="none">
              <a:latin typeface="Cambria"/>
              <a:ea typeface="+mn-ea"/>
              <a:cs typeface="+mn-cs"/>
            </a:rPr>
            <a:t>Srednjeročni cilj 3.</a:t>
          </a:r>
        </a:p>
        <a:p>
          <a:pPr algn="ctr">
            <a:buFont typeface="Times New Roman" panose="02020603050405020304" pitchFamily="18" charset="0"/>
            <a:buNone/>
          </a:pPr>
          <a:r>
            <a:rPr lang="bs-Latn-BA" sz="1200" b="0" u="none">
              <a:latin typeface="Cambria"/>
              <a:ea typeface="+mn-ea"/>
              <a:cs typeface="+mn-cs"/>
            </a:rPr>
            <a:t>Prati se stanje i sarađuje sa drugim akterima na unapređenju stanja ravnopravnosti spolova</a:t>
          </a:r>
          <a:endParaRPr lang="en-GB" sz="1200" b="0" u="none">
            <a:latin typeface="Cambria"/>
            <a:ea typeface="+mn-ea"/>
            <a:cs typeface="+mn-cs"/>
          </a:endParaRPr>
        </a:p>
      </dgm:t>
    </dgm:pt>
    <dgm:pt modelId="{4F752E05-CB6A-4506-8A06-09912BD739E9}" type="sibTrans" cxnId="{DA64625C-C6E3-4242-8261-2C433CB9AABF}">
      <dgm:prSet/>
      <dgm:spPr/>
      <dgm:t>
        <a:bodyPr/>
        <a:lstStyle/>
        <a:p>
          <a:endParaRPr lang="en-GB"/>
        </a:p>
      </dgm:t>
    </dgm:pt>
    <dgm:pt modelId="{0B3BECE6-21FA-4789-BE69-C90ACF0A98A8}" type="parTrans" cxnId="{DA64625C-C6E3-4242-8261-2C433CB9AABF}">
      <dgm:prSet/>
      <dgm:spPr/>
      <dgm:t>
        <a:bodyPr/>
        <a:lstStyle/>
        <a:p>
          <a:endParaRPr lang="en-GB"/>
        </a:p>
      </dgm:t>
    </dgm:pt>
    <dgm:pt modelId="{D7C1734D-898B-4F62-9B56-8AC4654F72B8}">
      <dgm:prSet custT="1"/>
      <dgm:spPr>
        <a:xfrm>
          <a:off x="4032266" y="1342264"/>
          <a:ext cx="1508497" cy="878753"/>
        </a:xfrm>
      </dgm:spPr>
      <dgm:t>
        <a:bodyPr/>
        <a:lstStyle/>
        <a:p>
          <a:pPr algn="ctr">
            <a:buFont typeface="Times New Roman" panose="02020603050405020304" pitchFamily="18" charset="0"/>
            <a:buNone/>
          </a:pPr>
          <a:r>
            <a:rPr lang="en-GB" sz="800" b="0" u="none">
              <a:ln/>
              <a:latin typeface="Cambria"/>
              <a:ea typeface="+mn-ea"/>
              <a:cs typeface="+mn-cs"/>
            </a:rPr>
            <a:t>3.1. Kanton doprinosi promociji ravnopravnost spolova</a:t>
          </a:r>
        </a:p>
      </dgm:t>
    </dgm:pt>
    <dgm:pt modelId="{38DC338E-5C6A-41B7-8DAE-627D2412ACD9}" type="parTrans" cxnId="{F0F11A73-819C-4091-AA0E-CFE1FFC8B6F8}">
      <dgm:prSet/>
      <dgm:spPr/>
      <dgm:t>
        <a:bodyPr/>
        <a:lstStyle/>
        <a:p>
          <a:endParaRPr lang="en-GB"/>
        </a:p>
      </dgm:t>
    </dgm:pt>
    <dgm:pt modelId="{29578650-2402-4715-8F29-C1B1DE6255C2}" type="sibTrans" cxnId="{F0F11A73-819C-4091-AA0E-CFE1FFC8B6F8}">
      <dgm:prSet/>
      <dgm:spPr/>
      <dgm:t>
        <a:bodyPr/>
        <a:lstStyle/>
        <a:p>
          <a:endParaRPr lang="en-GB"/>
        </a:p>
      </dgm:t>
    </dgm:pt>
    <dgm:pt modelId="{8E8BA751-534B-4AEB-9F9E-E0ED97666103}">
      <dgm:prSet phldrT="[Text]" custT="1"/>
      <dgm:spPr>
        <a:xfrm>
          <a:off x="188840" y="1342728"/>
          <a:ext cx="1508497" cy="517456"/>
        </a:xfrm>
      </dgm:spPr>
      <dgm:t>
        <a:bodyPr/>
        <a:lstStyle/>
        <a:p>
          <a:pPr algn="ctr">
            <a:buNone/>
          </a:pPr>
          <a:r>
            <a:rPr lang="en-GB" sz="800" b="0" u="none">
              <a:ln/>
              <a:latin typeface="Cambria"/>
              <a:ea typeface="+mn-ea"/>
              <a:cs typeface="+mn-cs"/>
            </a:rPr>
            <a:t>1.1. Uspostavljeno kantonalno koordinacijsko tijelo za praćenje Gender akcionog plana</a:t>
          </a:r>
          <a:endParaRPr lang="bs-Latn-BA" sz="800" b="0" u="none">
            <a:ln/>
            <a:latin typeface="Cambria"/>
            <a:ea typeface="+mn-ea"/>
            <a:cs typeface="+mn-cs"/>
          </a:endParaRPr>
        </a:p>
      </dgm:t>
    </dgm:pt>
    <dgm:pt modelId="{C640F6B3-2FAD-44CC-B98F-206771F9A934}" type="parTrans" cxnId="{D846B265-16C2-4332-B7EC-585B99054946}">
      <dgm:prSet/>
      <dgm:spPr/>
      <dgm:t>
        <a:bodyPr/>
        <a:lstStyle/>
        <a:p>
          <a:endParaRPr lang="en-GB"/>
        </a:p>
      </dgm:t>
    </dgm:pt>
    <dgm:pt modelId="{04DBB4D2-AB79-4725-BDC5-CFF25F866B69}" type="sibTrans" cxnId="{D846B265-16C2-4332-B7EC-585B99054946}">
      <dgm:prSet/>
      <dgm:spPr/>
      <dgm:t>
        <a:bodyPr/>
        <a:lstStyle/>
        <a:p>
          <a:endParaRPr lang="en-GB"/>
        </a:p>
      </dgm:t>
    </dgm:pt>
    <dgm:pt modelId="{8AFF3F67-ECD1-44A3-886F-793B64212692}">
      <dgm:prSet custT="1"/>
      <dgm:spPr>
        <a:xfrm>
          <a:off x="4032266" y="2356210"/>
          <a:ext cx="1508497" cy="878753"/>
        </a:xfrm>
      </dgm:spPr>
      <dgm:t>
        <a:bodyPr/>
        <a:lstStyle/>
        <a:p>
          <a:pPr>
            <a:buNone/>
          </a:pPr>
          <a:r>
            <a:rPr lang="en-GB" sz="800" b="0" u="none">
              <a:ln/>
              <a:latin typeface="Cambria"/>
              <a:ea typeface="+mn-ea"/>
              <a:cs typeface="+mn-cs"/>
            </a:rPr>
            <a:t>3.2. Redovno se prati stanje ravnopravnosti spolova na području</a:t>
          </a:r>
        </a:p>
      </dgm:t>
    </dgm:pt>
    <dgm:pt modelId="{F6BEE6D4-A300-4109-A9D7-3C7CFF775CBB}" type="parTrans" cxnId="{6D23537C-B4BD-4FF5-A2CC-C97235B3C35F}">
      <dgm:prSet/>
      <dgm:spPr/>
      <dgm:t>
        <a:bodyPr/>
        <a:lstStyle/>
        <a:p>
          <a:endParaRPr lang="en-GB"/>
        </a:p>
      </dgm:t>
    </dgm:pt>
    <dgm:pt modelId="{71BCBD98-F085-4966-B5D0-9AEBE88CEF3D}" type="sibTrans" cxnId="{6D23537C-B4BD-4FF5-A2CC-C97235B3C35F}">
      <dgm:prSet/>
      <dgm:spPr/>
      <dgm:t>
        <a:bodyPr/>
        <a:lstStyle/>
        <a:p>
          <a:endParaRPr lang="en-GB"/>
        </a:p>
      </dgm:t>
    </dgm:pt>
    <dgm:pt modelId="{C24D6F58-2CC8-4FE3-A59E-63944EC32571}">
      <dgm:prSet custT="1"/>
      <dgm:spPr>
        <a:xfrm>
          <a:off x="4032266" y="3370157"/>
          <a:ext cx="1508497" cy="878753"/>
        </a:xfrm>
      </dgm:spPr>
      <dgm:t>
        <a:bodyPr/>
        <a:lstStyle/>
        <a:p>
          <a:pPr>
            <a:buNone/>
          </a:pPr>
          <a:r>
            <a:rPr lang="en-GB" sz="800" b="0" u="none">
              <a:ln/>
              <a:latin typeface="Cambria"/>
              <a:ea typeface="+mn-ea"/>
              <a:cs typeface="+mn-cs"/>
            </a:rPr>
            <a:t>3.3. Civilno društvo učestvuje u definiranju prioriteta za djelovanje u oblasti ravnopravnosti spolova</a:t>
          </a:r>
        </a:p>
      </dgm:t>
    </dgm:pt>
    <dgm:pt modelId="{AB532D39-D17A-4DCF-94D7-155268EBD95B}" type="parTrans" cxnId="{805E7922-B28C-4137-B30F-209273A35F09}">
      <dgm:prSet/>
      <dgm:spPr/>
      <dgm:t>
        <a:bodyPr/>
        <a:lstStyle/>
        <a:p>
          <a:endParaRPr lang="en-GB"/>
        </a:p>
      </dgm:t>
    </dgm:pt>
    <dgm:pt modelId="{E1CFD291-55DC-4D90-ADF0-B50F0F3CAD33}" type="sibTrans" cxnId="{805E7922-B28C-4137-B30F-209273A35F09}">
      <dgm:prSet/>
      <dgm:spPr/>
      <dgm:t>
        <a:bodyPr/>
        <a:lstStyle/>
        <a:p>
          <a:endParaRPr lang="en-GB"/>
        </a:p>
      </dgm:t>
    </dgm:pt>
    <dgm:pt modelId="{B3E86F40-CD15-420F-A26C-2F7E1CA06E99}">
      <dgm:prSet custT="1"/>
      <dgm:spPr>
        <a:xfrm>
          <a:off x="188840" y="1939793"/>
          <a:ext cx="1508497" cy="517456"/>
        </a:xfrm>
      </dgm:spPr>
      <dgm:t>
        <a:bodyPr/>
        <a:lstStyle/>
        <a:p>
          <a:pPr>
            <a:buNone/>
          </a:pPr>
          <a:r>
            <a:rPr lang="en-GB" sz="800" b="0" u="none">
              <a:ln/>
              <a:latin typeface="Cambria"/>
              <a:ea typeface="+mn-ea"/>
              <a:cs typeface="+mn-cs"/>
            </a:rPr>
            <a:t>1.2. Kapaciteti koordinacionog odbora unaprijeđeni</a:t>
          </a:r>
        </a:p>
      </dgm:t>
    </dgm:pt>
    <dgm:pt modelId="{DED3416C-1F18-45A7-ABB8-10D05D56C993}" type="parTrans" cxnId="{D92EADAF-6D65-420A-AD71-1CA9C55BDBB3}">
      <dgm:prSet/>
      <dgm:spPr/>
      <dgm:t>
        <a:bodyPr/>
        <a:lstStyle/>
        <a:p>
          <a:endParaRPr lang="en-GB"/>
        </a:p>
      </dgm:t>
    </dgm:pt>
    <dgm:pt modelId="{66390D37-1F65-4B19-B83B-C0A56F6D2D4D}" type="sibTrans" cxnId="{D92EADAF-6D65-420A-AD71-1CA9C55BDBB3}">
      <dgm:prSet/>
      <dgm:spPr/>
      <dgm:t>
        <a:bodyPr/>
        <a:lstStyle/>
        <a:p>
          <a:endParaRPr lang="en-GB"/>
        </a:p>
      </dgm:t>
    </dgm:pt>
    <dgm:pt modelId="{1FD09D2E-2A74-4CD8-8429-414EE7BF54B9}">
      <dgm:prSet custT="1"/>
      <dgm:spPr>
        <a:xfrm>
          <a:off x="188840" y="2536859"/>
          <a:ext cx="1508497" cy="517456"/>
        </a:xfrm>
      </dgm:spPr>
      <dgm:t>
        <a:bodyPr/>
        <a:lstStyle/>
        <a:p>
          <a:pPr>
            <a:buNone/>
          </a:pPr>
          <a:r>
            <a:rPr lang="en-GB" sz="800" b="0" u="none">
              <a:ln/>
              <a:latin typeface="Cambria"/>
              <a:ea typeface="+mn-ea"/>
              <a:cs typeface="+mn-cs"/>
            </a:rPr>
            <a:t>1.3. Uspostavljeni instrumenti za redovnu procjenu uticaja propisa na ravnopravnost spolova</a:t>
          </a:r>
        </a:p>
      </dgm:t>
    </dgm:pt>
    <dgm:pt modelId="{030A6A70-0533-4328-AD04-C2E004A32CC0}" type="parTrans" cxnId="{8A67BA74-2DC4-47AA-86CA-0F0BCEFA63CE}">
      <dgm:prSet/>
      <dgm:spPr/>
      <dgm:t>
        <a:bodyPr/>
        <a:lstStyle/>
        <a:p>
          <a:endParaRPr lang="en-GB"/>
        </a:p>
      </dgm:t>
    </dgm:pt>
    <dgm:pt modelId="{22261017-F9CA-455E-94F9-BF39C9DEED39}" type="sibTrans" cxnId="{8A67BA74-2DC4-47AA-86CA-0F0BCEFA63CE}">
      <dgm:prSet/>
      <dgm:spPr/>
      <dgm:t>
        <a:bodyPr/>
        <a:lstStyle/>
        <a:p>
          <a:endParaRPr lang="en-GB"/>
        </a:p>
      </dgm:t>
    </dgm:pt>
    <dgm:pt modelId="{834896FD-658C-4F57-8953-0DCAA55ABA70}">
      <dgm:prSet custT="1"/>
      <dgm:spPr>
        <a:xfrm>
          <a:off x="188840" y="3133924"/>
          <a:ext cx="1508497" cy="517456"/>
        </a:xfrm>
      </dgm:spPr>
      <dgm:t>
        <a:bodyPr/>
        <a:lstStyle/>
        <a:p>
          <a:pPr>
            <a:buNone/>
          </a:pPr>
          <a:r>
            <a:rPr lang="en-GB" sz="800" b="0" u="none">
              <a:ln/>
              <a:latin typeface="Cambria"/>
              <a:ea typeface="+mn-ea"/>
              <a:cs typeface="+mn-cs"/>
            </a:rPr>
            <a:t>1.4. Provedene sektorske analize mogućnosti za unapređenje stanja ravnopravnosti spolova u prioritetnim oblastima</a:t>
          </a:r>
        </a:p>
      </dgm:t>
    </dgm:pt>
    <dgm:pt modelId="{EBD667CB-E7B3-421A-AD89-F2C591673D74}" type="parTrans" cxnId="{21549C01-613F-4DF7-9B30-F8292D9F8500}">
      <dgm:prSet/>
      <dgm:spPr/>
      <dgm:t>
        <a:bodyPr/>
        <a:lstStyle/>
        <a:p>
          <a:endParaRPr lang="en-GB"/>
        </a:p>
      </dgm:t>
    </dgm:pt>
    <dgm:pt modelId="{A59FBF97-57D9-4ED2-BCC2-08FE5440BC69}" type="sibTrans" cxnId="{21549C01-613F-4DF7-9B30-F8292D9F8500}">
      <dgm:prSet/>
      <dgm:spPr/>
      <dgm:t>
        <a:bodyPr/>
        <a:lstStyle/>
        <a:p>
          <a:endParaRPr lang="en-GB"/>
        </a:p>
      </dgm:t>
    </dgm:pt>
    <dgm:pt modelId="{7324F91D-2FE5-46D5-8548-240178176D6B}">
      <dgm:prSet custT="1"/>
      <dgm:spPr>
        <a:xfrm>
          <a:off x="188840" y="3730989"/>
          <a:ext cx="1508497" cy="517456"/>
        </a:xfrm>
      </dgm:spPr>
      <dgm:t>
        <a:bodyPr/>
        <a:lstStyle/>
        <a:p>
          <a:pPr>
            <a:buNone/>
          </a:pPr>
          <a:r>
            <a:rPr lang="en-GB" sz="800" b="0" u="none">
              <a:ln/>
              <a:latin typeface="Cambria"/>
              <a:ea typeface="+mn-ea"/>
              <a:cs typeface="+mn-cs"/>
            </a:rPr>
            <a:t>1.</a:t>
          </a:r>
          <a:r>
            <a:rPr lang="bs-Latn-BA" sz="800" b="0" u="none">
              <a:ln/>
              <a:latin typeface="Cambria"/>
              <a:ea typeface="+mn-ea"/>
              <a:cs typeface="+mn-cs"/>
            </a:rPr>
            <a:t>5</a:t>
          </a:r>
          <a:r>
            <a:rPr lang="en-GB" sz="800" b="0" u="none">
              <a:ln/>
              <a:latin typeface="Cambria"/>
              <a:ea typeface="+mn-ea"/>
              <a:cs typeface="+mn-cs"/>
            </a:rPr>
            <a:t>. Budžet sadrži procjenu uticaja na ravnopravnost spolova (rodno-odgovorno budžetiranje)</a:t>
          </a:r>
        </a:p>
      </dgm:t>
    </dgm:pt>
    <dgm:pt modelId="{B297E42D-386E-4A96-92A0-46965A0FD369}" type="parTrans" cxnId="{4F93FDDD-4512-4735-95DF-F051A118C884}">
      <dgm:prSet/>
      <dgm:spPr/>
      <dgm:t>
        <a:bodyPr/>
        <a:lstStyle/>
        <a:p>
          <a:endParaRPr lang="en-GB"/>
        </a:p>
      </dgm:t>
    </dgm:pt>
    <dgm:pt modelId="{72665912-FE75-4851-9170-5AF1B5E42D0F}" type="sibTrans" cxnId="{4F93FDDD-4512-4735-95DF-F051A118C884}">
      <dgm:prSet/>
      <dgm:spPr/>
      <dgm:t>
        <a:bodyPr/>
        <a:lstStyle/>
        <a:p>
          <a:endParaRPr lang="en-GB"/>
        </a:p>
      </dgm:t>
    </dgm:pt>
    <dgm:pt modelId="{0D403033-9A52-4066-B954-ABB25CA8122D}">
      <dgm:prSet custT="1"/>
      <dgm:spPr>
        <a:xfrm>
          <a:off x="2110553" y="1939793"/>
          <a:ext cx="1508497" cy="517456"/>
        </a:xfrm>
      </dgm:spPr>
      <dgm:t>
        <a:bodyPr/>
        <a:lstStyle/>
        <a:p>
          <a:pPr>
            <a:buNone/>
          </a:pPr>
          <a:r>
            <a:rPr lang="en-GB" sz="800" b="0" u="none">
              <a:ln/>
              <a:latin typeface="Cambria"/>
              <a:ea typeface="+mn-ea"/>
              <a:cs typeface="+mn-cs"/>
            </a:rPr>
            <a:t>2.2. Smanjen jaz između žena i muškaraca na tržištu rada</a:t>
          </a:r>
        </a:p>
      </dgm:t>
    </dgm:pt>
    <dgm:pt modelId="{F04EE9FB-5BBA-4D9E-BD96-7D1978B6BB6C}" type="parTrans" cxnId="{464930EC-C79B-45B4-8AA2-C69AEA489782}">
      <dgm:prSet/>
      <dgm:spPr/>
      <dgm:t>
        <a:bodyPr/>
        <a:lstStyle/>
        <a:p>
          <a:endParaRPr lang="en-GB"/>
        </a:p>
      </dgm:t>
    </dgm:pt>
    <dgm:pt modelId="{0AEA35D2-2CCC-4DE5-9C7B-6D1C8841F730}" type="sibTrans" cxnId="{464930EC-C79B-45B4-8AA2-C69AEA489782}">
      <dgm:prSet/>
      <dgm:spPr/>
      <dgm:t>
        <a:bodyPr/>
        <a:lstStyle/>
        <a:p>
          <a:endParaRPr lang="en-GB"/>
        </a:p>
      </dgm:t>
    </dgm:pt>
    <dgm:pt modelId="{59BB90BB-7A91-44D8-8F1B-20C8FEA4F184}">
      <dgm:prSet custT="1"/>
      <dgm:spPr>
        <a:xfrm>
          <a:off x="2110553" y="2536859"/>
          <a:ext cx="1508497" cy="517456"/>
        </a:xfrm>
      </dgm:spPr>
      <dgm:t>
        <a:bodyPr/>
        <a:lstStyle/>
        <a:p>
          <a:pPr>
            <a:buNone/>
          </a:pPr>
          <a:r>
            <a:rPr lang="en-GB" sz="800" b="0" u="none">
              <a:ln/>
              <a:latin typeface="Cambria"/>
              <a:ea typeface="+mn-ea"/>
              <a:cs typeface="+mn-cs"/>
            </a:rPr>
            <a:t>2.</a:t>
          </a:r>
          <a:r>
            <a:rPr lang="bs-Latn-BA" sz="800" b="0" u="none">
              <a:ln/>
              <a:latin typeface="Cambria"/>
              <a:ea typeface="+mn-ea"/>
              <a:cs typeface="+mn-cs"/>
            </a:rPr>
            <a:t>3</a:t>
          </a:r>
          <a:r>
            <a:rPr lang="en-GB" sz="800" b="0" u="none">
              <a:ln/>
              <a:latin typeface="Cambria"/>
              <a:ea typeface="+mn-ea"/>
              <a:cs typeface="+mn-cs"/>
            </a:rPr>
            <a:t>. Prevencija i zaštita od nasilja u porodici i nasilja na </a:t>
          </a:r>
          <a:r>
            <a:rPr lang="bs-Latn-BA" sz="800" b="0" u="none">
              <a:ln/>
              <a:latin typeface="Cambria"/>
              <a:ea typeface="+mn-ea"/>
              <a:cs typeface="+mn-cs"/>
            </a:rPr>
            <a:t>osnovu spola</a:t>
          </a:r>
          <a:endParaRPr lang="en-GB" sz="800" b="0" u="none">
            <a:ln/>
            <a:latin typeface="Cambria"/>
            <a:ea typeface="+mn-ea"/>
            <a:cs typeface="+mn-cs"/>
          </a:endParaRPr>
        </a:p>
      </dgm:t>
    </dgm:pt>
    <dgm:pt modelId="{73181A04-D028-4586-9D35-601FF2E0115C}" type="parTrans" cxnId="{A3E5CACF-6D70-4199-85D5-9B405C247555}">
      <dgm:prSet/>
      <dgm:spPr/>
      <dgm:t>
        <a:bodyPr/>
        <a:lstStyle/>
        <a:p>
          <a:endParaRPr lang="en-GB"/>
        </a:p>
      </dgm:t>
    </dgm:pt>
    <dgm:pt modelId="{CC534DB0-85AC-4216-8D01-9381B99FA27D}" type="sibTrans" cxnId="{A3E5CACF-6D70-4199-85D5-9B405C247555}">
      <dgm:prSet/>
      <dgm:spPr/>
      <dgm:t>
        <a:bodyPr/>
        <a:lstStyle/>
        <a:p>
          <a:endParaRPr lang="en-GB"/>
        </a:p>
      </dgm:t>
    </dgm:pt>
    <dgm:pt modelId="{D2B067F4-28AD-4FC1-A7BC-B73BCE1FB58D}">
      <dgm:prSet custT="1"/>
      <dgm:spPr>
        <a:xfrm>
          <a:off x="2110553" y="3133924"/>
          <a:ext cx="1508497" cy="517456"/>
        </a:xfrm>
      </dgm:spPr>
      <dgm:t>
        <a:bodyPr/>
        <a:lstStyle/>
        <a:p>
          <a:pPr>
            <a:buNone/>
          </a:pPr>
          <a:r>
            <a:rPr lang="en-GB" sz="800" b="0" u="none">
              <a:ln/>
              <a:latin typeface="Cambria"/>
              <a:ea typeface="+mn-ea"/>
              <a:cs typeface="+mn-cs"/>
            </a:rPr>
            <a:t>2.</a:t>
          </a:r>
          <a:r>
            <a:rPr lang="bs-Latn-BA" sz="800" b="0" u="none">
              <a:ln/>
              <a:latin typeface="Cambria"/>
              <a:ea typeface="+mn-ea"/>
              <a:cs typeface="+mn-cs"/>
            </a:rPr>
            <a:t>4</a:t>
          </a:r>
          <a:r>
            <a:rPr lang="en-GB" sz="800" b="0" u="none">
              <a:ln/>
              <a:latin typeface="Cambria"/>
              <a:ea typeface="+mn-ea"/>
              <a:cs typeface="+mn-cs"/>
            </a:rPr>
            <a:t>. Osigurana ravnopravna zastupljenost osoba muškog i ženskog spola u tijelima nad kojima Kanton vrši nadzor</a:t>
          </a:r>
        </a:p>
      </dgm:t>
    </dgm:pt>
    <dgm:pt modelId="{EC1BB703-7EFC-42C7-A99F-B1162E68B89A}" type="parTrans" cxnId="{66B164E7-2BC7-4D1B-9D77-8BE8501F6011}">
      <dgm:prSet/>
      <dgm:spPr/>
      <dgm:t>
        <a:bodyPr/>
        <a:lstStyle/>
        <a:p>
          <a:endParaRPr lang="en-GB"/>
        </a:p>
      </dgm:t>
    </dgm:pt>
    <dgm:pt modelId="{C0D88EB0-3C6F-4021-A8A1-F0EB13C6B72F}" type="sibTrans" cxnId="{66B164E7-2BC7-4D1B-9D77-8BE8501F6011}">
      <dgm:prSet/>
      <dgm:spPr/>
      <dgm:t>
        <a:bodyPr/>
        <a:lstStyle/>
        <a:p>
          <a:endParaRPr lang="en-GB"/>
        </a:p>
      </dgm:t>
    </dgm:pt>
    <dgm:pt modelId="{775D0B3C-97B1-4247-A620-34384AA3AFED}">
      <dgm:prSet custT="1"/>
      <dgm:spPr>
        <a:xfrm>
          <a:off x="2110553" y="3730989"/>
          <a:ext cx="1508497" cy="517456"/>
        </a:xfrm>
      </dgm:spPr>
      <dgm:t>
        <a:bodyPr/>
        <a:lstStyle/>
        <a:p>
          <a:pPr>
            <a:buNone/>
          </a:pPr>
          <a:r>
            <a:rPr lang="bs-Latn-BA" sz="800" b="0" u="none">
              <a:ln/>
              <a:latin typeface="Cambria"/>
              <a:ea typeface="+mn-ea"/>
              <a:cs typeface="+mn-cs"/>
            </a:rPr>
            <a:t>2.5. Unaprijeđeno zdravlje i seksualno i reproduktivno zdravlje</a:t>
          </a:r>
          <a:endParaRPr lang="en-GB" sz="800" b="0" u="none">
            <a:ln/>
            <a:latin typeface="Cambria"/>
            <a:ea typeface="+mn-ea"/>
            <a:cs typeface="+mn-cs"/>
          </a:endParaRPr>
        </a:p>
      </dgm:t>
    </dgm:pt>
    <dgm:pt modelId="{9A180D2E-DEEF-49C8-8973-2094E4F186DA}" type="parTrans" cxnId="{1518C54C-1C5F-4CAB-82BC-CE04C068DB4B}">
      <dgm:prSet/>
      <dgm:spPr/>
      <dgm:t>
        <a:bodyPr/>
        <a:lstStyle/>
        <a:p>
          <a:endParaRPr lang="en-GB"/>
        </a:p>
      </dgm:t>
    </dgm:pt>
    <dgm:pt modelId="{DEE20D9E-F03B-4BF0-8E9B-03338C202422}" type="sibTrans" cxnId="{1518C54C-1C5F-4CAB-82BC-CE04C068DB4B}">
      <dgm:prSet/>
      <dgm:spPr/>
      <dgm:t>
        <a:bodyPr/>
        <a:lstStyle/>
        <a:p>
          <a:endParaRPr lang="en-GB"/>
        </a:p>
      </dgm:t>
    </dgm:pt>
    <dgm:pt modelId="{BFD9EC66-7E1E-4820-8143-4C8C648D0EDB}" type="pres">
      <dgm:prSet presAssocID="{B592D9B2-D44F-4562-B3F6-85BB097F55C2}" presName="theList" presStyleCnt="0">
        <dgm:presLayoutVars>
          <dgm:dir/>
          <dgm:animLvl val="lvl"/>
          <dgm:resizeHandles val="exact"/>
        </dgm:presLayoutVars>
      </dgm:prSet>
      <dgm:spPr/>
      <dgm:t>
        <a:bodyPr/>
        <a:lstStyle/>
        <a:p>
          <a:endParaRPr lang="bs-Latn-BA"/>
        </a:p>
      </dgm:t>
    </dgm:pt>
    <dgm:pt modelId="{70040366-AC5E-4F84-8C3F-4BEEC2FF5248}" type="pres">
      <dgm:prSet presAssocID="{BFC5A5B4-D0E0-4ECC-99AF-268E7C080115}" presName="compNode" presStyleCnt="0"/>
      <dgm:spPr/>
    </dgm:pt>
    <dgm:pt modelId="{E3CF6BE0-7E62-4AA4-A92C-A5129AA56180}" type="pres">
      <dgm:prSet presAssocID="{BFC5A5B4-D0E0-4ECC-99AF-268E7C080115}" presName="aNode" presStyleLbl="bgShp" presStyleIdx="0" presStyleCnt="3" custLinFactNeighborX="1200" custLinFactNeighborY="177"/>
      <dgm:spPr>
        <a:prstGeom prst="roundRect">
          <a:avLst>
            <a:gd name="adj" fmla="val 10000"/>
          </a:avLst>
        </a:prstGeom>
      </dgm:spPr>
      <dgm:t>
        <a:bodyPr/>
        <a:lstStyle/>
        <a:p>
          <a:endParaRPr lang="bs-Latn-BA"/>
        </a:p>
      </dgm:t>
    </dgm:pt>
    <dgm:pt modelId="{F5BEC532-5C5C-4ACC-85F9-FB8F45D740E7}" type="pres">
      <dgm:prSet presAssocID="{BFC5A5B4-D0E0-4ECC-99AF-268E7C080115}" presName="textNode" presStyleLbl="bgShp" presStyleIdx="0" presStyleCnt="3"/>
      <dgm:spPr/>
      <dgm:t>
        <a:bodyPr/>
        <a:lstStyle/>
        <a:p>
          <a:endParaRPr lang="bs-Latn-BA"/>
        </a:p>
      </dgm:t>
    </dgm:pt>
    <dgm:pt modelId="{F048DCBF-3A4A-4DD7-84FE-45DF2C77013E}" type="pres">
      <dgm:prSet presAssocID="{BFC5A5B4-D0E0-4ECC-99AF-268E7C080115}" presName="compChildNode" presStyleCnt="0"/>
      <dgm:spPr/>
    </dgm:pt>
    <dgm:pt modelId="{AB68AA8A-5BE2-4ED6-AB57-60499023DFB5}" type="pres">
      <dgm:prSet presAssocID="{BFC5A5B4-D0E0-4ECC-99AF-268E7C080115}" presName="theInnerList" presStyleCnt="0"/>
      <dgm:spPr/>
    </dgm:pt>
    <dgm:pt modelId="{08CCF5B8-34D9-4067-BE91-438C3BE2CE7E}" type="pres">
      <dgm:prSet presAssocID="{8E8BA751-534B-4AEB-9F9E-E0ED97666103}" presName="childNode" presStyleLbl="node1" presStyleIdx="0" presStyleCnt="13">
        <dgm:presLayoutVars>
          <dgm:bulletEnabled val="1"/>
        </dgm:presLayoutVars>
      </dgm:prSet>
      <dgm:spPr>
        <a:prstGeom prst="roundRect">
          <a:avLst>
            <a:gd name="adj" fmla="val 10000"/>
          </a:avLst>
        </a:prstGeom>
      </dgm:spPr>
      <dgm:t>
        <a:bodyPr/>
        <a:lstStyle/>
        <a:p>
          <a:endParaRPr lang="bs-Latn-BA"/>
        </a:p>
      </dgm:t>
    </dgm:pt>
    <dgm:pt modelId="{BEA089B4-BBCF-425D-A2AD-D185FDA66424}" type="pres">
      <dgm:prSet presAssocID="{8E8BA751-534B-4AEB-9F9E-E0ED97666103}" presName="aSpace2" presStyleCnt="0"/>
      <dgm:spPr/>
    </dgm:pt>
    <dgm:pt modelId="{B01F5F53-8BEA-4E74-8C87-6E14B320FA8D}" type="pres">
      <dgm:prSet presAssocID="{B3E86F40-CD15-420F-A26C-2F7E1CA06E99}" presName="childNode" presStyleLbl="node1" presStyleIdx="1" presStyleCnt="13">
        <dgm:presLayoutVars>
          <dgm:bulletEnabled val="1"/>
        </dgm:presLayoutVars>
      </dgm:prSet>
      <dgm:spPr>
        <a:prstGeom prst="roundRect">
          <a:avLst>
            <a:gd name="adj" fmla="val 10000"/>
          </a:avLst>
        </a:prstGeom>
      </dgm:spPr>
      <dgm:t>
        <a:bodyPr/>
        <a:lstStyle/>
        <a:p>
          <a:endParaRPr lang="bs-Latn-BA"/>
        </a:p>
      </dgm:t>
    </dgm:pt>
    <dgm:pt modelId="{DFBB0A4C-A5D5-45D8-B406-82BC30D9D760}" type="pres">
      <dgm:prSet presAssocID="{B3E86F40-CD15-420F-A26C-2F7E1CA06E99}" presName="aSpace2" presStyleCnt="0"/>
      <dgm:spPr/>
    </dgm:pt>
    <dgm:pt modelId="{8C526EE3-A95F-4955-913A-0BB8C79019AC}" type="pres">
      <dgm:prSet presAssocID="{1FD09D2E-2A74-4CD8-8429-414EE7BF54B9}" presName="childNode" presStyleLbl="node1" presStyleIdx="2" presStyleCnt="13">
        <dgm:presLayoutVars>
          <dgm:bulletEnabled val="1"/>
        </dgm:presLayoutVars>
      </dgm:prSet>
      <dgm:spPr>
        <a:prstGeom prst="roundRect">
          <a:avLst>
            <a:gd name="adj" fmla="val 10000"/>
          </a:avLst>
        </a:prstGeom>
      </dgm:spPr>
      <dgm:t>
        <a:bodyPr/>
        <a:lstStyle/>
        <a:p>
          <a:endParaRPr lang="bs-Latn-BA"/>
        </a:p>
      </dgm:t>
    </dgm:pt>
    <dgm:pt modelId="{B2655502-CB48-448A-89E9-D93DD907E256}" type="pres">
      <dgm:prSet presAssocID="{1FD09D2E-2A74-4CD8-8429-414EE7BF54B9}" presName="aSpace2" presStyleCnt="0"/>
      <dgm:spPr/>
    </dgm:pt>
    <dgm:pt modelId="{395E55E1-2B86-44DF-B961-42A21CF89CB6}" type="pres">
      <dgm:prSet presAssocID="{834896FD-658C-4F57-8953-0DCAA55ABA70}" presName="childNode" presStyleLbl="node1" presStyleIdx="3" presStyleCnt="13">
        <dgm:presLayoutVars>
          <dgm:bulletEnabled val="1"/>
        </dgm:presLayoutVars>
      </dgm:prSet>
      <dgm:spPr>
        <a:prstGeom prst="roundRect">
          <a:avLst>
            <a:gd name="adj" fmla="val 10000"/>
          </a:avLst>
        </a:prstGeom>
      </dgm:spPr>
      <dgm:t>
        <a:bodyPr/>
        <a:lstStyle/>
        <a:p>
          <a:endParaRPr lang="bs-Latn-BA"/>
        </a:p>
      </dgm:t>
    </dgm:pt>
    <dgm:pt modelId="{76644ACF-B294-44AF-91F2-B6096C5254C6}" type="pres">
      <dgm:prSet presAssocID="{834896FD-658C-4F57-8953-0DCAA55ABA70}" presName="aSpace2" presStyleCnt="0"/>
      <dgm:spPr/>
    </dgm:pt>
    <dgm:pt modelId="{1B046E3D-810F-4186-90D8-C13895CA63FC}" type="pres">
      <dgm:prSet presAssocID="{7324F91D-2FE5-46D5-8548-240178176D6B}" presName="childNode" presStyleLbl="node1" presStyleIdx="4" presStyleCnt="13">
        <dgm:presLayoutVars>
          <dgm:bulletEnabled val="1"/>
        </dgm:presLayoutVars>
      </dgm:prSet>
      <dgm:spPr>
        <a:prstGeom prst="roundRect">
          <a:avLst>
            <a:gd name="adj" fmla="val 10000"/>
          </a:avLst>
        </a:prstGeom>
      </dgm:spPr>
      <dgm:t>
        <a:bodyPr/>
        <a:lstStyle/>
        <a:p>
          <a:endParaRPr lang="bs-Latn-BA"/>
        </a:p>
      </dgm:t>
    </dgm:pt>
    <dgm:pt modelId="{0DE0D5D9-73AC-470F-BFED-3ABFB519124E}" type="pres">
      <dgm:prSet presAssocID="{BFC5A5B4-D0E0-4ECC-99AF-268E7C080115}" presName="aSpace" presStyleCnt="0"/>
      <dgm:spPr/>
    </dgm:pt>
    <dgm:pt modelId="{E46C7F0D-39CC-48E0-88ED-A29E6D987DC9}" type="pres">
      <dgm:prSet presAssocID="{4D8A4AE3-5B9E-4D50-A2A0-EBEC2959D23B}" presName="compNode" presStyleCnt="0"/>
      <dgm:spPr/>
    </dgm:pt>
    <dgm:pt modelId="{D773D787-7E45-4E1C-9F10-92001C1852F8}" type="pres">
      <dgm:prSet presAssocID="{4D8A4AE3-5B9E-4D50-A2A0-EBEC2959D23B}" presName="aNode" presStyleLbl="bgShp" presStyleIdx="1" presStyleCnt="3" custScaleX="88828"/>
      <dgm:spPr>
        <a:prstGeom prst="roundRect">
          <a:avLst>
            <a:gd name="adj" fmla="val 10000"/>
          </a:avLst>
        </a:prstGeom>
      </dgm:spPr>
      <dgm:t>
        <a:bodyPr/>
        <a:lstStyle/>
        <a:p>
          <a:endParaRPr lang="bs-Latn-BA"/>
        </a:p>
      </dgm:t>
    </dgm:pt>
    <dgm:pt modelId="{9CD1D938-E3A8-4C34-997A-5BAA90D06599}" type="pres">
      <dgm:prSet presAssocID="{4D8A4AE3-5B9E-4D50-A2A0-EBEC2959D23B}" presName="textNode" presStyleLbl="bgShp" presStyleIdx="1" presStyleCnt="3"/>
      <dgm:spPr/>
      <dgm:t>
        <a:bodyPr/>
        <a:lstStyle/>
        <a:p>
          <a:endParaRPr lang="bs-Latn-BA"/>
        </a:p>
      </dgm:t>
    </dgm:pt>
    <dgm:pt modelId="{2DB609B6-AAD7-40E7-9CF6-64E40A1A3248}" type="pres">
      <dgm:prSet presAssocID="{4D8A4AE3-5B9E-4D50-A2A0-EBEC2959D23B}" presName="compChildNode" presStyleCnt="0"/>
      <dgm:spPr/>
    </dgm:pt>
    <dgm:pt modelId="{20391FCE-AB44-4C53-9055-A995D39890DC}" type="pres">
      <dgm:prSet presAssocID="{4D8A4AE3-5B9E-4D50-A2A0-EBEC2959D23B}" presName="theInnerList" presStyleCnt="0"/>
      <dgm:spPr/>
    </dgm:pt>
    <dgm:pt modelId="{669205AC-36E5-4245-B13C-579C1992446A}" type="pres">
      <dgm:prSet presAssocID="{3DBD36B3-895B-4945-995F-347340854CA7}" presName="childNode" presStyleLbl="node1" presStyleIdx="5" presStyleCnt="13">
        <dgm:presLayoutVars>
          <dgm:bulletEnabled val="1"/>
        </dgm:presLayoutVars>
      </dgm:prSet>
      <dgm:spPr>
        <a:prstGeom prst="roundRect">
          <a:avLst>
            <a:gd name="adj" fmla="val 10000"/>
          </a:avLst>
        </a:prstGeom>
      </dgm:spPr>
      <dgm:t>
        <a:bodyPr/>
        <a:lstStyle/>
        <a:p>
          <a:endParaRPr lang="bs-Latn-BA"/>
        </a:p>
      </dgm:t>
    </dgm:pt>
    <dgm:pt modelId="{548DC518-5A30-41AC-9F7C-023CBE67C314}" type="pres">
      <dgm:prSet presAssocID="{3DBD36B3-895B-4945-995F-347340854CA7}" presName="aSpace2" presStyleCnt="0"/>
      <dgm:spPr/>
    </dgm:pt>
    <dgm:pt modelId="{305A4F42-96AB-4DD6-AEAF-5D992822631D}" type="pres">
      <dgm:prSet presAssocID="{0D403033-9A52-4066-B954-ABB25CA8122D}" presName="childNode" presStyleLbl="node1" presStyleIdx="6" presStyleCnt="13">
        <dgm:presLayoutVars>
          <dgm:bulletEnabled val="1"/>
        </dgm:presLayoutVars>
      </dgm:prSet>
      <dgm:spPr>
        <a:prstGeom prst="roundRect">
          <a:avLst>
            <a:gd name="adj" fmla="val 10000"/>
          </a:avLst>
        </a:prstGeom>
      </dgm:spPr>
      <dgm:t>
        <a:bodyPr/>
        <a:lstStyle/>
        <a:p>
          <a:endParaRPr lang="bs-Latn-BA"/>
        </a:p>
      </dgm:t>
    </dgm:pt>
    <dgm:pt modelId="{A8623FCC-871B-4614-A5F1-3A0C94510B60}" type="pres">
      <dgm:prSet presAssocID="{0D403033-9A52-4066-B954-ABB25CA8122D}" presName="aSpace2" presStyleCnt="0"/>
      <dgm:spPr/>
    </dgm:pt>
    <dgm:pt modelId="{ECBE8675-1CA0-453B-A8BB-AF50C4FA67B4}" type="pres">
      <dgm:prSet presAssocID="{59BB90BB-7A91-44D8-8F1B-20C8FEA4F184}" presName="childNode" presStyleLbl="node1" presStyleIdx="7" presStyleCnt="13">
        <dgm:presLayoutVars>
          <dgm:bulletEnabled val="1"/>
        </dgm:presLayoutVars>
      </dgm:prSet>
      <dgm:spPr>
        <a:prstGeom prst="roundRect">
          <a:avLst>
            <a:gd name="adj" fmla="val 10000"/>
          </a:avLst>
        </a:prstGeom>
      </dgm:spPr>
      <dgm:t>
        <a:bodyPr/>
        <a:lstStyle/>
        <a:p>
          <a:endParaRPr lang="bs-Latn-BA"/>
        </a:p>
      </dgm:t>
    </dgm:pt>
    <dgm:pt modelId="{84C21C44-17FA-4AEC-8BF2-7C188A59C84F}" type="pres">
      <dgm:prSet presAssocID="{59BB90BB-7A91-44D8-8F1B-20C8FEA4F184}" presName="aSpace2" presStyleCnt="0"/>
      <dgm:spPr/>
    </dgm:pt>
    <dgm:pt modelId="{92E0D6B9-2D63-4827-98C6-12123F3FA6E5}" type="pres">
      <dgm:prSet presAssocID="{D2B067F4-28AD-4FC1-A7BC-B73BCE1FB58D}" presName="childNode" presStyleLbl="node1" presStyleIdx="8" presStyleCnt="13">
        <dgm:presLayoutVars>
          <dgm:bulletEnabled val="1"/>
        </dgm:presLayoutVars>
      </dgm:prSet>
      <dgm:spPr>
        <a:prstGeom prst="roundRect">
          <a:avLst>
            <a:gd name="adj" fmla="val 10000"/>
          </a:avLst>
        </a:prstGeom>
      </dgm:spPr>
      <dgm:t>
        <a:bodyPr/>
        <a:lstStyle/>
        <a:p>
          <a:endParaRPr lang="bs-Latn-BA"/>
        </a:p>
      </dgm:t>
    </dgm:pt>
    <dgm:pt modelId="{761C95BC-F9EC-4068-B2BE-F8C195CAC56B}" type="pres">
      <dgm:prSet presAssocID="{D2B067F4-28AD-4FC1-A7BC-B73BCE1FB58D}" presName="aSpace2" presStyleCnt="0"/>
      <dgm:spPr/>
    </dgm:pt>
    <dgm:pt modelId="{797E4662-144D-471E-B289-609F1209C52F}" type="pres">
      <dgm:prSet presAssocID="{775D0B3C-97B1-4247-A620-34384AA3AFED}" presName="childNode" presStyleLbl="node1" presStyleIdx="9" presStyleCnt="13">
        <dgm:presLayoutVars>
          <dgm:bulletEnabled val="1"/>
        </dgm:presLayoutVars>
      </dgm:prSet>
      <dgm:spPr>
        <a:prstGeom prst="roundRect">
          <a:avLst>
            <a:gd name="adj" fmla="val 10000"/>
          </a:avLst>
        </a:prstGeom>
      </dgm:spPr>
      <dgm:t>
        <a:bodyPr/>
        <a:lstStyle/>
        <a:p>
          <a:endParaRPr lang="bs-Latn-BA"/>
        </a:p>
      </dgm:t>
    </dgm:pt>
    <dgm:pt modelId="{99F1325C-97D8-4C3E-A1E7-94F3611CD364}" type="pres">
      <dgm:prSet presAssocID="{4D8A4AE3-5B9E-4D50-A2A0-EBEC2959D23B}" presName="aSpace" presStyleCnt="0"/>
      <dgm:spPr/>
    </dgm:pt>
    <dgm:pt modelId="{25D4D6FE-8E6E-48D9-9BD8-22E383337B62}" type="pres">
      <dgm:prSet presAssocID="{AE24C239-1508-4755-819F-5E87AEBD125C}" presName="compNode" presStyleCnt="0"/>
      <dgm:spPr/>
    </dgm:pt>
    <dgm:pt modelId="{B8D19E46-DDAD-457F-B901-635613BDBDE7}" type="pres">
      <dgm:prSet presAssocID="{AE24C239-1508-4755-819F-5E87AEBD125C}" presName="aNode" presStyleLbl="bgShp" presStyleIdx="2" presStyleCnt="3"/>
      <dgm:spPr>
        <a:prstGeom prst="roundRect">
          <a:avLst>
            <a:gd name="adj" fmla="val 10000"/>
          </a:avLst>
        </a:prstGeom>
      </dgm:spPr>
      <dgm:t>
        <a:bodyPr/>
        <a:lstStyle/>
        <a:p>
          <a:endParaRPr lang="bs-Latn-BA"/>
        </a:p>
      </dgm:t>
    </dgm:pt>
    <dgm:pt modelId="{989A6AC2-34F0-47CC-A7A7-C76DA802E46E}" type="pres">
      <dgm:prSet presAssocID="{AE24C239-1508-4755-819F-5E87AEBD125C}" presName="textNode" presStyleLbl="bgShp" presStyleIdx="2" presStyleCnt="3"/>
      <dgm:spPr/>
      <dgm:t>
        <a:bodyPr/>
        <a:lstStyle/>
        <a:p>
          <a:endParaRPr lang="bs-Latn-BA"/>
        </a:p>
      </dgm:t>
    </dgm:pt>
    <dgm:pt modelId="{EA2FCDB2-B582-4ED0-9C0A-CDBA6489A2DA}" type="pres">
      <dgm:prSet presAssocID="{AE24C239-1508-4755-819F-5E87AEBD125C}" presName="compChildNode" presStyleCnt="0"/>
      <dgm:spPr/>
    </dgm:pt>
    <dgm:pt modelId="{B320C3C0-6613-419B-8005-A3A1B947C99F}" type="pres">
      <dgm:prSet presAssocID="{AE24C239-1508-4755-819F-5E87AEBD125C}" presName="theInnerList" presStyleCnt="0"/>
      <dgm:spPr/>
    </dgm:pt>
    <dgm:pt modelId="{C01DE590-6A8A-4527-B96E-6497372523A9}" type="pres">
      <dgm:prSet presAssocID="{D7C1734D-898B-4F62-9B56-8AC4654F72B8}" presName="childNode" presStyleLbl="node1" presStyleIdx="10" presStyleCnt="13">
        <dgm:presLayoutVars>
          <dgm:bulletEnabled val="1"/>
        </dgm:presLayoutVars>
      </dgm:prSet>
      <dgm:spPr>
        <a:prstGeom prst="roundRect">
          <a:avLst>
            <a:gd name="adj" fmla="val 10000"/>
          </a:avLst>
        </a:prstGeom>
      </dgm:spPr>
      <dgm:t>
        <a:bodyPr/>
        <a:lstStyle/>
        <a:p>
          <a:endParaRPr lang="bs-Latn-BA"/>
        </a:p>
      </dgm:t>
    </dgm:pt>
    <dgm:pt modelId="{7BCCECE1-331F-4737-880C-C285A7841458}" type="pres">
      <dgm:prSet presAssocID="{D7C1734D-898B-4F62-9B56-8AC4654F72B8}" presName="aSpace2" presStyleCnt="0"/>
      <dgm:spPr/>
    </dgm:pt>
    <dgm:pt modelId="{08B45FD9-1755-4A74-B46B-19EE017DF072}" type="pres">
      <dgm:prSet presAssocID="{8AFF3F67-ECD1-44A3-886F-793B64212692}" presName="childNode" presStyleLbl="node1" presStyleIdx="11" presStyleCnt="13">
        <dgm:presLayoutVars>
          <dgm:bulletEnabled val="1"/>
        </dgm:presLayoutVars>
      </dgm:prSet>
      <dgm:spPr>
        <a:prstGeom prst="roundRect">
          <a:avLst>
            <a:gd name="adj" fmla="val 10000"/>
          </a:avLst>
        </a:prstGeom>
      </dgm:spPr>
      <dgm:t>
        <a:bodyPr/>
        <a:lstStyle/>
        <a:p>
          <a:endParaRPr lang="bs-Latn-BA"/>
        </a:p>
      </dgm:t>
    </dgm:pt>
    <dgm:pt modelId="{87337FD3-5070-46F5-AF09-55B4F998DBC6}" type="pres">
      <dgm:prSet presAssocID="{8AFF3F67-ECD1-44A3-886F-793B64212692}" presName="aSpace2" presStyleCnt="0"/>
      <dgm:spPr/>
    </dgm:pt>
    <dgm:pt modelId="{85BABF7C-9F66-48CA-919E-614DC241976D}" type="pres">
      <dgm:prSet presAssocID="{C24D6F58-2CC8-4FE3-A59E-63944EC32571}" presName="childNode" presStyleLbl="node1" presStyleIdx="12" presStyleCnt="13">
        <dgm:presLayoutVars>
          <dgm:bulletEnabled val="1"/>
        </dgm:presLayoutVars>
      </dgm:prSet>
      <dgm:spPr>
        <a:prstGeom prst="roundRect">
          <a:avLst>
            <a:gd name="adj" fmla="val 10000"/>
          </a:avLst>
        </a:prstGeom>
      </dgm:spPr>
      <dgm:t>
        <a:bodyPr/>
        <a:lstStyle/>
        <a:p>
          <a:endParaRPr lang="bs-Latn-BA"/>
        </a:p>
      </dgm:t>
    </dgm:pt>
  </dgm:ptLst>
  <dgm:cxnLst>
    <dgm:cxn modelId="{051B5FAE-AF86-4FE5-AB52-6789BFC23FA9}" type="presOf" srcId="{D7C1734D-898B-4F62-9B56-8AC4654F72B8}" destId="{C01DE590-6A8A-4527-B96E-6497372523A9}" srcOrd="0" destOrd="0" presId="urn:microsoft.com/office/officeart/2005/8/layout/lProcess2"/>
    <dgm:cxn modelId="{F0F11A73-819C-4091-AA0E-CFE1FFC8B6F8}" srcId="{AE24C239-1508-4755-819F-5E87AEBD125C}" destId="{D7C1734D-898B-4F62-9B56-8AC4654F72B8}" srcOrd="0" destOrd="0" parTransId="{38DC338E-5C6A-41B7-8DAE-627D2412ACD9}" sibTransId="{29578650-2402-4715-8F29-C1B1DE6255C2}"/>
    <dgm:cxn modelId="{A73EAE6B-5B7A-443C-B1AA-5FC6BBABEF93}" type="presOf" srcId="{AE24C239-1508-4755-819F-5E87AEBD125C}" destId="{B8D19E46-DDAD-457F-B901-635613BDBDE7}" srcOrd="0" destOrd="0" presId="urn:microsoft.com/office/officeart/2005/8/layout/lProcess2"/>
    <dgm:cxn modelId="{805E7922-B28C-4137-B30F-209273A35F09}" srcId="{AE24C239-1508-4755-819F-5E87AEBD125C}" destId="{C24D6F58-2CC8-4FE3-A59E-63944EC32571}" srcOrd="2" destOrd="0" parTransId="{AB532D39-D17A-4DCF-94D7-155268EBD95B}" sibTransId="{E1CFD291-55DC-4D90-ADF0-B50F0F3CAD33}"/>
    <dgm:cxn modelId="{D92EADAF-6D65-420A-AD71-1CA9C55BDBB3}" srcId="{BFC5A5B4-D0E0-4ECC-99AF-268E7C080115}" destId="{B3E86F40-CD15-420F-A26C-2F7E1CA06E99}" srcOrd="1" destOrd="0" parTransId="{DED3416C-1F18-45A7-ABB8-10D05D56C993}" sibTransId="{66390D37-1F65-4B19-B83B-C0A56F6D2D4D}"/>
    <dgm:cxn modelId="{9663FA83-9CE0-44D0-AC4A-D6E996945277}" type="presOf" srcId="{834896FD-658C-4F57-8953-0DCAA55ABA70}" destId="{395E55E1-2B86-44DF-B961-42A21CF89CB6}" srcOrd="0" destOrd="0" presId="urn:microsoft.com/office/officeart/2005/8/layout/lProcess2"/>
    <dgm:cxn modelId="{415A88F9-EA04-4827-8401-A874A152BC40}" type="presOf" srcId="{B3E86F40-CD15-420F-A26C-2F7E1CA06E99}" destId="{B01F5F53-8BEA-4E74-8C87-6E14B320FA8D}" srcOrd="0" destOrd="0" presId="urn:microsoft.com/office/officeart/2005/8/layout/lProcess2"/>
    <dgm:cxn modelId="{55E13F7F-E351-401D-A924-45316E304A8C}" type="presOf" srcId="{C24D6F58-2CC8-4FE3-A59E-63944EC32571}" destId="{85BABF7C-9F66-48CA-919E-614DC241976D}" srcOrd="0" destOrd="0" presId="urn:microsoft.com/office/officeart/2005/8/layout/lProcess2"/>
    <dgm:cxn modelId="{FC0971CA-D41C-4BB9-A083-758EDFB87542}" type="presOf" srcId="{4D8A4AE3-5B9E-4D50-A2A0-EBEC2959D23B}" destId="{D773D787-7E45-4E1C-9F10-92001C1852F8}" srcOrd="0" destOrd="0" presId="urn:microsoft.com/office/officeart/2005/8/layout/lProcess2"/>
    <dgm:cxn modelId="{E1731543-2872-425A-8261-7FD83FFEA1F3}" type="presOf" srcId="{BFC5A5B4-D0E0-4ECC-99AF-268E7C080115}" destId="{F5BEC532-5C5C-4ACC-85F9-FB8F45D740E7}" srcOrd="1" destOrd="0" presId="urn:microsoft.com/office/officeart/2005/8/layout/lProcess2"/>
    <dgm:cxn modelId="{72784F09-8A91-4DB1-B476-EF22CFB945F6}" type="presOf" srcId="{D2B067F4-28AD-4FC1-A7BC-B73BCE1FB58D}" destId="{92E0D6B9-2D63-4827-98C6-12123F3FA6E5}" srcOrd="0" destOrd="0" presId="urn:microsoft.com/office/officeart/2005/8/layout/lProcess2"/>
    <dgm:cxn modelId="{3097CB34-9B46-4F08-8BD3-A96FA7BC93D8}" type="presOf" srcId="{4D8A4AE3-5B9E-4D50-A2A0-EBEC2959D23B}" destId="{9CD1D938-E3A8-4C34-997A-5BAA90D06599}" srcOrd="1" destOrd="0" presId="urn:microsoft.com/office/officeart/2005/8/layout/lProcess2"/>
    <dgm:cxn modelId="{4F93FDDD-4512-4735-95DF-F051A118C884}" srcId="{BFC5A5B4-D0E0-4ECC-99AF-268E7C080115}" destId="{7324F91D-2FE5-46D5-8548-240178176D6B}" srcOrd="4" destOrd="0" parTransId="{B297E42D-386E-4A96-92A0-46965A0FD369}" sibTransId="{72665912-FE75-4851-9170-5AF1B5E42D0F}"/>
    <dgm:cxn modelId="{464930EC-C79B-45B4-8AA2-C69AEA489782}" srcId="{4D8A4AE3-5B9E-4D50-A2A0-EBEC2959D23B}" destId="{0D403033-9A52-4066-B954-ABB25CA8122D}" srcOrd="1" destOrd="0" parTransId="{F04EE9FB-5BBA-4D9E-BD96-7D1978B6BB6C}" sibTransId="{0AEA35D2-2CCC-4DE5-9C7B-6D1C8841F730}"/>
    <dgm:cxn modelId="{1518C54C-1C5F-4CAB-82BC-CE04C068DB4B}" srcId="{4D8A4AE3-5B9E-4D50-A2A0-EBEC2959D23B}" destId="{775D0B3C-97B1-4247-A620-34384AA3AFED}" srcOrd="4" destOrd="0" parTransId="{9A180D2E-DEEF-49C8-8973-2094E4F186DA}" sibTransId="{DEE20D9E-F03B-4BF0-8E9B-03338C202422}"/>
    <dgm:cxn modelId="{557543F0-5EA1-41A3-A223-3C11BCD9B709}" type="presOf" srcId="{59BB90BB-7A91-44D8-8F1B-20C8FEA4F184}" destId="{ECBE8675-1CA0-453B-A8BB-AF50C4FA67B4}" srcOrd="0" destOrd="0" presId="urn:microsoft.com/office/officeart/2005/8/layout/lProcess2"/>
    <dgm:cxn modelId="{66B164E7-2BC7-4D1B-9D77-8BE8501F6011}" srcId="{4D8A4AE3-5B9E-4D50-A2A0-EBEC2959D23B}" destId="{D2B067F4-28AD-4FC1-A7BC-B73BCE1FB58D}" srcOrd="3" destOrd="0" parTransId="{EC1BB703-7EFC-42C7-A99F-B1162E68B89A}" sibTransId="{C0D88EB0-3C6F-4021-A8A1-F0EB13C6B72F}"/>
    <dgm:cxn modelId="{65CF23A9-0F69-462A-8D1A-256B42D75041}" type="presOf" srcId="{3DBD36B3-895B-4945-995F-347340854CA7}" destId="{669205AC-36E5-4245-B13C-579C1992446A}" srcOrd="0" destOrd="0" presId="urn:microsoft.com/office/officeart/2005/8/layout/lProcess2"/>
    <dgm:cxn modelId="{86586A69-C2FE-4527-B806-E52F0FFF2033}" srcId="{B592D9B2-D44F-4562-B3F6-85BB097F55C2}" destId="{4D8A4AE3-5B9E-4D50-A2A0-EBEC2959D23B}" srcOrd="1" destOrd="0" parTransId="{7D66E326-DAA3-41D5-A1C5-BA95E23446C0}" sibTransId="{ED927EE5-1F16-4664-B987-03324CE1DE73}"/>
    <dgm:cxn modelId="{E39942C9-32D9-4B53-A952-56BBE9CC5EB9}" type="presOf" srcId="{1FD09D2E-2A74-4CD8-8429-414EE7BF54B9}" destId="{8C526EE3-A95F-4955-913A-0BB8C79019AC}" srcOrd="0" destOrd="0" presId="urn:microsoft.com/office/officeart/2005/8/layout/lProcess2"/>
    <dgm:cxn modelId="{A3E5CACF-6D70-4199-85D5-9B405C247555}" srcId="{4D8A4AE3-5B9E-4D50-A2A0-EBEC2959D23B}" destId="{59BB90BB-7A91-44D8-8F1B-20C8FEA4F184}" srcOrd="2" destOrd="0" parTransId="{73181A04-D028-4586-9D35-601FF2E0115C}" sibTransId="{CC534DB0-85AC-4216-8D01-9381B99FA27D}"/>
    <dgm:cxn modelId="{9085C025-E678-4646-BB35-1408A583077D}" srcId="{4D8A4AE3-5B9E-4D50-A2A0-EBEC2959D23B}" destId="{3DBD36B3-895B-4945-995F-347340854CA7}" srcOrd="0" destOrd="0" parTransId="{23C6C05B-73DA-4050-BA90-C5F722A99B80}" sibTransId="{D03A9EC0-62BC-4884-923A-1C45567F53F4}"/>
    <dgm:cxn modelId="{6D23537C-B4BD-4FF5-A2CC-C97235B3C35F}" srcId="{AE24C239-1508-4755-819F-5E87AEBD125C}" destId="{8AFF3F67-ECD1-44A3-886F-793B64212692}" srcOrd="1" destOrd="0" parTransId="{F6BEE6D4-A300-4109-A9D7-3C7CFF775CBB}" sibTransId="{71BCBD98-F085-4966-B5D0-9AEBE88CEF3D}"/>
    <dgm:cxn modelId="{DA64625C-C6E3-4242-8261-2C433CB9AABF}" srcId="{B592D9B2-D44F-4562-B3F6-85BB097F55C2}" destId="{AE24C239-1508-4755-819F-5E87AEBD125C}" srcOrd="2" destOrd="0" parTransId="{0B3BECE6-21FA-4789-BE69-C90ACF0A98A8}" sibTransId="{4F752E05-CB6A-4506-8A06-09912BD739E9}"/>
    <dgm:cxn modelId="{1E8496EE-203C-41FE-870D-23B3C3B432C8}" srcId="{B592D9B2-D44F-4562-B3F6-85BB097F55C2}" destId="{BFC5A5B4-D0E0-4ECC-99AF-268E7C080115}" srcOrd="0" destOrd="0" parTransId="{C1CEA269-8B8E-4F7B-A4F4-BA18391E6C66}" sibTransId="{546429B6-16A9-4B84-A81D-2F5F44AB1BD6}"/>
    <dgm:cxn modelId="{CC9FF4B1-9BC3-40B9-9E6F-31186CBB673C}" type="presOf" srcId="{B592D9B2-D44F-4562-B3F6-85BB097F55C2}" destId="{BFD9EC66-7E1E-4820-8143-4C8C648D0EDB}" srcOrd="0" destOrd="0" presId="urn:microsoft.com/office/officeart/2005/8/layout/lProcess2"/>
    <dgm:cxn modelId="{21549C01-613F-4DF7-9B30-F8292D9F8500}" srcId="{BFC5A5B4-D0E0-4ECC-99AF-268E7C080115}" destId="{834896FD-658C-4F57-8953-0DCAA55ABA70}" srcOrd="3" destOrd="0" parTransId="{EBD667CB-E7B3-421A-AD89-F2C591673D74}" sibTransId="{A59FBF97-57D9-4ED2-BCC2-08FE5440BC69}"/>
    <dgm:cxn modelId="{D846B265-16C2-4332-B7EC-585B99054946}" srcId="{BFC5A5B4-D0E0-4ECC-99AF-268E7C080115}" destId="{8E8BA751-534B-4AEB-9F9E-E0ED97666103}" srcOrd="0" destOrd="0" parTransId="{C640F6B3-2FAD-44CC-B98F-206771F9A934}" sibTransId="{04DBB4D2-AB79-4725-BDC5-CFF25F866B69}"/>
    <dgm:cxn modelId="{A2A65D5F-E056-4C11-BE96-E15401BF29A4}" type="presOf" srcId="{AE24C239-1508-4755-819F-5E87AEBD125C}" destId="{989A6AC2-34F0-47CC-A7A7-C76DA802E46E}" srcOrd="1" destOrd="0" presId="urn:microsoft.com/office/officeart/2005/8/layout/lProcess2"/>
    <dgm:cxn modelId="{C4631A52-5B64-4AF5-9CE6-3957195A72AF}" type="presOf" srcId="{7324F91D-2FE5-46D5-8548-240178176D6B}" destId="{1B046E3D-810F-4186-90D8-C13895CA63FC}" srcOrd="0" destOrd="0" presId="urn:microsoft.com/office/officeart/2005/8/layout/lProcess2"/>
    <dgm:cxn modelId="{99FC1F15-4EB5-49B3-A5A0-A954AC6007B1}" type="presOf" srcId="{0D403033-9A52-4066-B954-ABB25CA8122D}" destId="{305A4F42-96AB-4DD6-AEAF-5D992822631D}" srcOrd="0" destOrd="0" presId="urn:microsoft.com/office/officeart/2005/8/layout/lProcess2"/>
    <dgm:cxn modelId="{ABD47E03-783D-4364-9E42-E8B67AC1483E}" type="presOf" srcId="{8E8BA751-534B-4AEB-9F9E-E0ED97666103}" destId="{08CCF5B8-34D9-4067-BE91-438C3BE2CE7E}" srcOrd="0" destOrd="0" presId="urn:microsoft.com/office/officeart/2005/8/layout/lProcess2"/>
    <dgm:cxn modelId="{0A6D4408-283E-4A2C-953B-3545EF9C3669}" type="presOf" srcId="{BFC5A5B4-D0E0-4ECC-99AF-268E7C080115}" destId="{E3CF6BE0-7E62-4AA4-A92C-A5129AA56180}" srcOrd="0" destOrd="0" presId="urn:microsoft.com/office/officeart/2005/8/layout/lProcess2"/>
    <dgm:cxn modelId="{71A496C5-5F8C-4970-A3B8-E13B57BE3CA1}" type="presOf" srcId="{8AFF3F67-ECD1-44A3-886F-793B64212692}" destId="{08B45FD9-1755-4A74-B46B-19EE017DF072}" srcOrd="0" destOrd="0" presId="urn:microsoft.com/office/officeart/2005/8/layout/lProcess2"/>
    <dgm:cxn modelId="{8A67BA74-2DC4-47AA-86CA-0F0BCEFA63CE}" srcId="{BFC5A5B4-D0E0-4ECC-99AF-268E7C080115}" destId="{1FD09D2E-2A74-4CD8-8429-414EE7BF54B9}" srcOrd="2" destOrd="0" parTransId="{030A6A70-0533-4328-AD04-C2E004A32CC0}" sibTransId="{22261017-F9CA-455E-94F9-BF39C9DEED39}"/>
    <dgm:cxn modelId="{BBEB7ACF-9AF3-4598-BF3A-F038DA2153F0}" type="presOf" srcId="{775D0B3C-97B1-4247-A620-34384AA3AFED}" destId="{797E4662-144D-471E-B289-609F1209C52F}" srcOrd="0" destOrd="0" presId="urn:microsoft.com/office/officeart/2005/8/layout/lProcess2"/>
    <dgm:cxn modelId="{F158CDB5-642B-40E8-A56A-C3A493868F04}" type="presParOf" srcId="{BFD9EC66-7E1E-4820-8143-4C8C648D0EDB}" destId="{70040366-AC5E-4F84-8C3F-4BEEC2FF5248}" srcOrd="0" destOrd="0" presId="urn:microsoft.com/office/officeart/2005/8/layout/lProcess2"/>
    <dgm:cxn modelId="{12DE531E-BF17-41D7-9980-AB967FDEFB1A}" type="presParOf" srcId="{70040366-AC5E-4F84-8C3F-4BEEC2FF5248}" destId="{E3CF6BE0-7E62-4AA4-A92C-A5129AA56180}" srcOrd="0" destOrd="0" presId="urn:microsoft.com/office/officeart/2005/8/layout/lProcess2"/>
    <dgm:cxn modelId="{89785F18-BC7B-4F33-A741-EA7EB93B636A}" type="presParOf" srcId="{70040366-AC5E-4F84-8C3F-4BEEC2FF5248}" destId="{F5BEC532-5C5C-4ACC-85F9-FB8F45D740E7}" srcOrd="1" destOrd="0" presId="urn:microsoft.com/office/officeart/2005/8/layout/lProcess2"/>
    <dgm:cxn modelId="{82A5F077-D98C-4C70-949C-397836289C96}" type="presParOf" srcId="{70040366-AC5E-4F84-8C3F-4BEEC2FF5248}" destId="{F048DCBF-3A4A-4DD7-84FE-45DF2C77013E}" srcOrd="2" destOrd="0" presId="urn:microsoft.com/office/officeart/2005/8/layout/lProcess2"/>
    <dgm:cxn modelId="{0113D83A-2954-4C82-AB06-A79EF0794EA3}" type="presParOf" srcId="{F048DCBF-3A4A-4DD7-84FE-45DF2C77013E}" destId="{AB68AA8A-5BE2-4ED6-AB57-60499023DFB5}" srcOrd="0" destOrd="0" presId="urn:microsoft.com/office/officeart/2005/8/layout/lProcess2"/>
    <dgm:cxn modelId="{E22E6129-2980-41F5-8A5B-796B96C8B66D}" type="presParOf" srcId="{AB68AA8A-5BE2-4ED6-AB57-60499023DFB5}" destId="{08CCF5B8-34D9-4067-BE91-438C3BE2CE7E}" srcOrd="0" destOrd="0" presId="urn:microsoft.com/office/officeart/2005/8/layout/lProcess2"/>
    <dgm:cxn modelId="{9D3E5EF5-2DD7-48F6-AD93-E7C16BF22C30}" type="presParOf" srcId="{AB68AA8A-5BE2-4ED6-AB57-60499023DFB5}" destId="{BEA089B4-BBCF-425D-A2AD-D185FDA66424}" srcOrd="1" destOrd="0" presId="urn:microsoft.com/office/officeart/2005/8/layout/lProcess2"/>
    <dgm:cxn modelId="{2306CC3C-C52E-4D25-96EB-98C1F4AE9045}" type="presParOf" srcId="{AB68AA8A-5BE2-4ED6-AB57-60499023DFB5}" destId="{B01F5F53-8BEA-4E74-8C87-6E14B320FA8D}" srcOrd="2" destOrd="0" presId="urn:microsoft.com/office/officeart/2005/8/layout/lProcess2"/>
    <dgm:cxn modelId="{2ABFD42C-42C4-485E-A7C6-9B05089024FC}" type="presParOf" srcId="{AB68AA8A-5BE2-4ED6-AB57-60499023DFB5}" destId="{DFBB0A4C-A5D5-45D8-B406-82BC30D9D760}" srcOrd="3" destOrd="0" presId="urn:microsoft.com/office/officeart/2005/8/layout/lProcess2"/>
    <dgm:cxn modelId="{03DDFEEB-A54F-44C7-A24D-8E8250EDF5B0}" type="presParOf" srcId="{AB68AA8A-5BE2-4ED6-AB57-60499023DFB5}" destId="{8C526EE3-A95F-4955-913A-0BB8C79019AC}" srcOrd="4" destOrd="0" presId="urn:microsoft.com/office/officeart/2005/8/layout/lProcess2"/>
    <dgm:cxn modelId="{50965556-FCC3-4C3C-A255-916563B2C66F}" type="presParOf" srcId="{AB68AA8A-5BE2-4ED6-AB57-60499023DFB5}" destId="{B2655502-CB48-448A-89E9-D93DD907E256}" srcOrd="5" destOrd="0" presId="urn:microsoft.com/office/officeart/2005/8/layout/lProcess2"/>
    <dgm:cxn modelId="{6172390A-B9AD-4C90-892D-7E5E34081BDB}" type="presParOf" srcId="{AB68AA8A-5BE2-4ED6-AB57-60499023DFB5}" destId="{395E55E1-2B86-44DF-B961-42A21CF89CB6}" srcOrd="6" destOrd="0" presId="urn:microsoft.com/office/officeart/2005/8/layout/lProcess2"/>
    <dgm:cxn modelId="{C0119E28-771D-4D4C-98C4-844CEF0939F6}" type="presParOf" srcId="{AB68AA8A-5BE2-4ED6-AB57-60499023DFB5}" destId="{76644ACF-B294-44AF-91F2-B6096C5254C6}" srcOrd="7" destOrd="0" presId="urn:microsoft.com/office/officeart/2005/8/layout/lProcess2"/>
    <dgm:cxn modelId="{12828454-ADBF-45FA-9B3F-415E25A293AE}" type="presParOf" srcId="{AB68AA8A-5BE2-4ED6-AB57-60499023DFB5}" destId="{1B046E3D-810F-4186-90D8-C13895CA63FC}" srcOrd="8" destOrd="0" presId="urn:microsoft.com/office/officeart/2005/8/layout/lProcess2"/>
    <dgm:cxn modelId="{579F16E1-653B-4113-A6E9-DA58CF347B6E}" type="presParOf" srcId="{BFD9EC66-7E1E-4820-8143-4C8C648D0EDB}" destId="{0DE0D5D9-73AC-470F-BFED-3ABFB519124E}" srcOrd="1" destOrd="0" presId="urn:microsoft.com/office/officeart/2005/8/layout/lProcess2"/>
    <dgm:cxn modelId="{4F06B16A-E15F-4F11-965D-B7F158E36216}" type="presParOf" srcId="{BFD9EC66-7E1E-4820-8143-4C8C648D0EDB}" destId="{E46C7F0D-39CC-48E0-88ED-A29E6D987DC9}" srcOrd="2" destOrd="0" presId="urn:microsoft.com/office/officeart/2005/8/layout/lProcess2"/>
    <dgm:cxn modelId="{2ACF043B-6EC4-430E-8F9B-7E8529AEE507}" type="presParOf" srcId="{E46C7F0D-39CC-48E0-88ED-A29E6D987DC9}" destId="{D773D787-7E45-4E1C-9F10-92001C1852F8}" srcOrd="0" destOrd="0" presId="urn:microsoft.com/office/officeart/2005/8/layout/lProcess2"/>
    <dgm:cxn modelId="{19942197-C913-4B79-A037-DD67B8177D2F}" type="presParOf" srcId="{E46C7F0D-39CC-48E0-88ED-A29E6D987DC9}" destId="{9CD1D938-E3A8-4C34-997A-5BAA90D06599}" srcOrd="1" destOrd="0" presId="urn:microsoft.com/office/officeart/2005/8/layout/lProcess2"/>
    <dgm:cxn modelId="{04EBCB6D-2862-44B2-A17D-0E2F752742BB}" type="presParOf" srcId="{E46C7F0D-39CC-48E0-88ED-A29E6D987DC9}" destId="{2DB609B6-AAD7-40E7-9CF6-64E40A1A3248}" srcOrd="2" destOrd="0" presId="urn:microsoft.com/office/officeart/2005/8/layout/lProcess2"/>
    <dgm:cxn modelId="{C63E4AC0-4A53-49ED-9029-C51A08BDF4C0}" type="presParOf" srcId="{2DB609B6-AAD7-40E7-9CF6-64E40A1A3248}" destId="{20391FCE-AB44-4C53-9055-A995D39890DC}" srcOrd="0" destOrd="0" presId="urn:microsoft.com/office/officeart/2005/8/layout/lProcess2"/>
    <dgm:cxn modelId="{FF183F2A-CBEB-4DC0-A7F4-531A67FD7B32}" type="presParOf" srcId="{20391FCE-AB44-4C53-9055-A995D39890DC}" destId="{669205AC-36E5-4245-B13C-579C1992446A}" srcOrd="0" destOrd="0" presId="urn:microsoft.com/office/officeart/2005/8/layout/lProcess2"/>
    <dgm:cxn modelId="{04D70B7D-496C-43FA-80A2-385228778FA2}" type="presParOf" srcId="{20391FCE-AB44-4C53-9055-A995D39890DC}" destId="{548DC518-5A30-41AC-9F7C-023CBE67C314}" srcOrd="1" destOrd="0" presId="urn:microsoft.com/office/officeart/2005/8/layout/lProcess2"/>
    <dgm:cxn modelId="{04306061-1850-42C0-ADE6-ED2D53AEF1DC}" type="presParOf" srcId="{20391FCE-AB44-4C53-9055-A995D39890DC}" destId="{305A4F42-96AB-4DD6-AEAF-5D992822631D}" srcOrd="2" destOrd="0" presId="urn:microsoft.com/office/officeart/2005/8/layout/lProcess2"/>
    <dgm:cxn modelId="{83DAE907-F0AB-4DFF-866E-84FA3F8988E4}" type="presParOf" srcId="{20391FCE-AB44-4C53-9055-A995D39890DC}" destId="{A8623FCC-871B-4614-A5F1-3A0C94510B60}" srcOrd="3" destOrd="0" presId="urn:microsoft.com/office/officeart/2005/8/layout/lProcess2"/>
    <dgm:cxn modelId="{F53F7529-3C16-4924-8FD5-D130CCAD51F8}" type="presParOf" srcId="{20391FCE-AB44-4C53-9055-A995D39890DC}" destId="{ECBE8675-1CA0-453B-A8BB-AF50C4FA67B4}" srcOrd="4" destOrd="0" presId="urn:microsoft.com/office/officeart/2005/8/layout/lProcess2"/>
    <dgm:cxn modelId="{23377A0B-7513-42E1-99FF-693DA2949AC1}" type="presParOf" srcId="{20391FCE-AB44-4C53-9055-A995D39890DC}" destId="{84C21C44-17FA-4AEC-8BF2-7C188A59C84F}" srcOrd="5" destOrd="0" presId="urn:microsoft.com/office/officeart/2005/8/layout/lProcess2"/>
    <dgm:cxn modelId="{D560A957-0226-4F13-BE05-A14AD558693E}" type="presParOf" srcId="{20391FCE-AB44-4C53-9055-A995D39890DC}" destId="{92E0D6B9-2D63-4827-98C6-12123F3FA6E5}" srcOrd="6" destOrd="0" presId="urn:microsoft.com/office/officeart/2005/8/layout/lProcess2"/>
    <dgm:cxn modelId="{79EC0018-1E83-4E0D-AAF8-D49CA453BDD5}" type="presParOf" srcId="{20391FCE-AB44-4C53-9055-A995D39890DC}" destId="{761C95BC-F9EC-4068-B2BE-F8C195CAC56B}" srcOrd="7" destOrd="0" presId="urn:microsoft.com/office/officeart/2005/8/layout/lProcess2"/>
    <dgm:cxn modelId="{6F6EE518-EEAA-4C1F-B1A7-BB4C292818FE}" type="presParOf" srcId="{20391FCE-AB44-4C53-9055-A995D39890DC}" destId="{797E4662-144D-471E-B289-609F1209C52F}" srcOrd="8" destOrd="0" presId="urn:microsoft.com/office/officeart/2005/8/layout/lProcess2"/>
    <dgm:cxn modelId="{D0ED3539-693C-4FE9-8D09-8A679F34F8E3}" type="presParOf" srcId="{BFD9EC66-7E1E-4820-8143-4C8C648D0EDB}" destId="{99F1325C-97D8-4C3E-A1E7-94F3611CD364}" srcOrd="3" destOrd="0" presId="urn:microsoft.com/office/officeart/2005/8/layout/lProcess2"/>
    <dgm:cxn modelId="{77F4BE59-1276-45F9-89D9-E17162FE9624}" type="presParOf" srcId="{BFD9EC66-7E1E-4820-8143-4C8C648D0EDB}" destId="{25D4D6FE-8E6E-48D9-9BD8-22E383337B62}" srcOrd="4" destOrd="0" presId="urn:microsoft.com/office/officeart/2005/8/layout/lProcess2"/>
    <dgm:cxn modelId="{647EA56D-F5A4-4250-B94C-C5E91E68E0B5}" type="presParOf" srcId="{25D4D6FE-8E6E-48D9-9BD8-22E383337B62}" destId="{B8D19E46-DDAD-457F-B901-635613BDBDE7}" srcOrd="0" destOrd="0" presId="urn:microsoft.com/office/officeart/2005/8/layout/lProcess2"/>
    <dgm:cxn modelId="{655DE6BC-BC27-42BF-8C84-423108BA44AE}" type="presParOf" srcId="{25D4D6FE-8E6E-48D9-9BD8-22E383337B62}" destId="{989A6AC2-34F0-47CC-A7A7-C76DA802E46E}" srcOrd="1" destOrd="0" presId="urn:microsoft.com/office/officeart/2005/8/layout/lProcess2"/>
    <dgm:cxn modelId="{9A15E287-268F-4D93-BA64-1943B6CD3647}" type="presParOf" srcId="{25D4D6FE-8E6E-48D9-9BD8-22E383337B62}" destId="{EA2FCDB2-B582-4ED0-9C0A-CDBA6489A2DA}" srcOrd="2" destOrd="0" presId="urn:microsoft.com/office/officeart/2005/8/layout/lProcess2"/>
    <dgm:cxn modelId="{9C9EDA56-B40E-4988-98BF-25B2954DDB47}" type="presParOf" srcId="{EA2FCDB2-B582-4ED0-9C0A-CDBA6489A2DA}" destId="{B320C3C0-6613-419B-8005-A3A1B947C99F}" srcOrd="0" destOrd="0" presId="urn:microsoft.com/office/officeart/2005/8/layout/lProcess2"/>
    <dgm:cxn modelId="{7C6CE363-32C5-427D-A737-251408F1CF3B}" type="presParOf" srcId="{B320C3C0-6613-419B-8005-A3A1B947C99F}" destId="{C01DE590-6A8A-4527-B96E-6497372523A9}" srcOrd="0" destOrd="0" presId="urn:microsoft.com/office/officeart/2005/8/layout/lProcess2"/>
    <dgm:cxn modelId="{0A999BA4-0726-4D85-A910-881AAC38A0D9}" type="presParOf" srcId="{B320C3C0-6613-419B-8005-A3A1B947C99F}" destId="{7BCCECE1-331F-4737-880C-C285A7841458}" srcOrd="1" destOrd="0" presId="urn:microsoft.com/office/officeart/2005/8/layout/lProcess2"/>
    <dgm:cxn modelId="{1211F0F0-3E07-4ACC-ABBC-AD8D6C0CA642}" type="presParOf" srcId="{B320C3C0-6613-419B-8005-A3A1B947C99F}" destId="{08B45FD9-1755-4A74-B46B-19EE017DF072}" srcOrd="2" destOrd="0" presId="urn:microsoft.com/office/officeart/2005/8/layout/lProcess2"/>
    <dgm:cxn modelId="{296EECFD-F442-4083-B455-33B85D049A04}" type="presParOf" srcId="{B320C3C0-6613-419B-8005-A3A1B947C99F}" destId="{87337FD3-5070-46F5-AF09-55B4F998DBC6}" srcOrd="3" destOrd="0" presId="urn:microsoft.com/office/officeart/2005/8/layout/lProcess2"/>
    <dgm:cxn modelId="{829C7781-10E0-4679-A633-38CA660177B4}" type="presParOf" srcId="{B320C3C0-6613-419B-8005-A3A1B947C99F}" destId="{85BABF7C-9F66-48CA-919E-614DC241976D}" srcOrd="4" destOrd="0" presId="urn:microsoft.com/office/officeart/2005/8/layout/l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F6BE0-7E62-4AA4-A92C-A5129AA56180}">
      <dsp:nvSpPr>
        <dsp:cNvPr id="0" name=""/>
        <dsp:cNvSpPr/>
      </dsp:nvSpPr>
      <dsp:spPr>
        <a:xfrm>
          <a:off x="22906" y="0"/>
          <a:ext cx="1885621" cy="447294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bs-Latn-BA" sz="1200" b="1" u="none" kern="1200">
              <a:latin typeface="Cambria"/>
              <a:ea typeface="+mn-ea"/>
              <a:cs typeface="+mn-cs"/>
            </a:rPr>
            <a:t>Srednjeročni cilj 1.</a:t>
          </a:r>
        </a:p>
        <a:p>
          <a:pPr lvl="0" algn="ctr" defTabSz="533400">
            <a:lnSpc>
              <a:spcPct val="90000"/>
            </a:lnSpc>
            <a:spcBef>
              <a:spcPct val="0"/>
            </a:spcBef>
            <a:spcAft>
              <a:spcPct val="35000"/>
            </a:spcAft>
            <a:buNone/>
          </a:pPr>
          <a:r>
            <a:rPr lang="bs-Latn-BA" sz="1200" b="0" u="none" kern="1200">
              <a:latin typeface="Cambria"/>
              <a:ea typeface="+mn-ea"/>
              <a:cs typeface="+mn-cs"/>
            </a:rPr>
            <a:t>Ministarstva i službe djeluju za ravnopravnost spolova</a:t>
          </a:r>
          <a:endParaRPr lang="en-GB" sz="1200" b="0" u="none" kern="1200">
            <a:latin typeface="Cambria"/>
            <a:ea typeface="+mn-ea"/>
            <a:cs typeface="+mn-cs"/>
          </a:endParaRPr>
        </a:p>
      </dsp:txBody>
      <dsp:txXfrm>
        <a:off x="22906" y="0"/>
        <a:ext cx="1885621" cy="1341882"/>
      </dsp:txXfrm>
    </dsp:sp>
    <dsp:sp modelId="{08CCF5B8-34D9-4067-BE91-438C3BE2CE7E}">
      <dsp:nvSpPr>
        <dsp:cNvPr id="0" name=""/>
        <dsp:cNvSpPr/>
      </dsp:nvSpPr>
      <dsp:spPr>
        <a:xfrm>
          <a:off x="188840" y="1342728"/>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1.1. Uspostavljeno kantonalno koordinacijsko tijelo za praćenje Gender akcionog plana</a:t>
          </a:r>
          <a:endParaRPr lang="bs-Latn-BA" sz="800" b="0" u="none" kern="1200">
            <a:ln/>
            <a:latin typeface="Cambria"/>
            <a:ea typeface="+mn-ea"/>
            <a:cs typeface="+mn-cs"/>
          </a:endParaRPr>
        </a:p>
      </dsp:txBody>
      <dsp:txXfrm>
        <a:off x="203996" y="1357884"/>
        <a:ext cx="1478185" cy="487144"/>
      </dsp:txXfrm>
    </dsp:sp>
    <dsp:sp modelId="{B01F5F53-8BEA-4E74-8C87-6E14B320FA8D}">
      <dsp:nvSpPr>
        <dsp:cNvPr id="0" name=""/>
        <dsp:cNvSpPr/>
      </dsp:nvSpPr>
      <dsp:spPr>
        <a:xfrm>
          <a:off x="188840" y="1939793"/>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1.2. Kapaciteti koordinacionog odbora unaprijeđeni</a:t>
          </a:r>
        </a:p>
      </dsp:txBody>
      <dsp:txXfrm>
        <a:off x="203996" y="1954949"/>
        <a:ext cx="1478185" cy="487144"/>
      </dsp:txXfrm>
    </dsp:sp>
    <dsp:sp modelId="{8C526EE3-A95F-4955-913A-0BB8C79019AC}">
      <dsp:nvSpPr>
        <dsp:cNvPr id="0" name=""/>
        <dsp:cNvSpPr/>
      </dsp:nvSpPr>
      <dsp:spPr>
        <a:xfrm>
          <a:off x="188840" y="2536859"/>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1.3. Uspostavljeni instrumenti za redovnu procjenu uticaja propisa na ravnopravnost spolova</a:t>
          </a:r>
        </a:p>
      </dsp:txBody>
      <dsp:txXfrm>
        <a:off x="203996" y="2552015"/>
        <a:ext cx="1478185" cy="487144"/>
      </dsp:txXfrm>
    </dsp:sp>
    <dsp:sp modelId="{395E55E1-2B86-44DF-B961-42A21CF89CB6}">
      <dsp:nvSpPr>
        <dsp:cNvPr id="0" name=""/>
        <dsp:cNvSpPr/>
      </dsp:nvSpPr>
      <dsp:spPr>
        <a:xfrm>
          <a:off x="188840" y="3133924"/>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1.4. Provedene sektorske analize mogućnosti za unapređenje stanja ravnopravnosti spolova u prioritetnim oblastima</a:t>
          </a:r>
        </a:p>
      </dsp:txBody>
      <dsp:txXfrm>
        <a:off x="203996" y="3149080"/>
        <a:ext cx="1478185" cy="487144"/>
      </dsp:txXfrm>
    </dsp:sp>
    <dsp:sp modelId="{1B046E3D-810F-4186-90D8-C13895CA63FC}">
      <dsp:nvSpPr>
        <dsp:cNvPr id="0" name=""/>
        <dsp:cNvSpPr/>
      </dsp:nvSpPr>
      <dsp:spPr>
        <a:xfrm>
          <a:off x="188840" y="3730989"/>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1.</a:t>
          </a:r>
          <a:r>
            <a:rPr lang="bs-Latn-BA" sz="800" b="0" u="none" kern="1200">
              <a:ln/>
              <a:latin typeface="Cambria"/>
              <a:ea typeface="+mn-ea"/>
              <a:cs typeface="+mn-cs"/>
            </a:rPr>
            <a:t>5</a:t>
          </a:r>
          <a:r>
            <a:rPr lang="en-GB" sz="800" b="0" u="none" kern="1200">
              <a:ln/>
              <a:latin typeface="Cambria"/>
              <a:ea typeface="+mn-ea"/>
              <a:cs typeface="+mn-cs"/>
            </a:rPr>
            <a:t>. Budžet sadrži procjenu uticaja na ravnopravnost spolova (rodno-odgovorno budžetiranje)</a:t>
          </a:r>
        </a:p>
      </dsp:txBody>
      <dsp:txXfrm>
        <a:off x="203996" y="3746145"/>
        <a:ext cx="1478185" cy="487144"/>
      </dsp:txXfrm>
    </dsp:sp>
    <dsp:sp modelId="{D773D787-7E45-4E1C-9F10-92001C1852F8}">
      <dsp:nvSpPr>
        <dsp:cNvPr id="0" name=""/>
        <dsp:cNvSpPr/>
      </dsp:nvSpPr>
      <dsp:spPr>
        <a:xfrm>
          <a:off x="2027322" y="0"/>
          <a:ext cx="1674960" cy="447294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None/>
          </a:pPr>
          <a:r>
            <a:rPr lang="bs-Latn-BA" sz="1200" b="1" u="none" kern="1200">
              <a:latin typeface="Cambria"/>
              <a:ea typeface="+mn-ea"/>
              <a:cs typeface="+mn-cs"/>
            </a:rPr>
            <a:t>Srednjeročni cilj 2.</a:t>
          </a:r>
          <a:r>
            <a:rPr lang="bs-Latn-BA" sz="1200" b="0" u="none" kern="1200">
              <a:latin typeface="Cambria"/>
              <a:ea typeface="+mn-ea"/>
              <a:cs typeface="+mn-cs"/>
            </a:rPr>
            <a:t> </a:t>
          </a:r>
        </a:p>
        <a:p>
          <a:pPr lvl="0" algn="ctr" defTabSz="533400">
            <a:lnSpc>
              <a:spcPct val="90000"/>
            </a:lnSpc>
            <a:spcBef>
              <a:spcPct val="0"/>
            </a:spcBef>
            <a:spcAft>
              <a:spcPct val="35000"/>
            </a:spcAft>
            <a:buFont typeface="Times New Roman" panose="02020603050405020304" pitchFamily="18" charset="0"/>
            <a:buNone/>
          </a:pPr>
          <a:r>
            <a:rPr lang="bs-Latn-BA" sz="1200" b="0" u="none" kern="1200">
              <a:latin typeface="Cambria"/>
              <a:ea typeface="+mn-ea"/>
              <a:cs typeface="+mn-cs"/>
            </a:rPr>
            <a:t>Unapređeno je stanje ravnopravnosti spolova na području</a:t>
          </a:r>
          <a:endParaRPr lang="en-GB" sz="1200" b="0" u="none" kern="1200">
            <a:latin typeface="Cambria"/>
            <a:ea typeface="+mn-ea"/>
            <a:cs typeface="+mn-cs"/>
          </a:endParaRPr>
        </a:p>
      </dsp:txBody>
      <dsp:txXfrm>
        <a:off x="2027322" y="0"/>
        <a:ext cx="1674960" cy="1341882"/>
      </dsp:txXfrm>
    </dsp:sp>
    <dsp:sp modelId="{669205AC-36E5-4245-B13C-579C1992446A}">
      <dsp:nvSpPr>
        <dsp:cNvPr id="0" name=""/>
        <dsp:cNvSpPr/>
      </dsp:nvSpPr>
      <dsp:spPr>
        <a:xfrm>
          <a:off x="2110553" y="1342728"/>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2.1. Obrazovni sektor doprinosi ravnopravnosti spolova</a:t>
          </a:r>
        </a:p>
      </dsp:txBody>
      <dsp:txXfrm>
        <a:off x="2125709" y="1357884"/>
        <a:ext cx="1478185" cy="487144"/>
      </dsp:txXfrm>
    </dsp:sp>
    <dsp:sp modelId="{305A4F42-96AB-4DD6-AEAF-5D992822631D}">
      <dsp:nvSpPr>
        <dsp:cNvPr id="0" name=""/>
        <dsp:cNvSpPr/>
      </dsp:nvSpPr>
      <dsp:spPr>
        <a:xfrm>
          <a:off x="2110553" y="1939793"/>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2.2. Smanjen jaz između žena i muškaraca na tržištu rada</a:t>
          </a:r>
        </a:p>
      </dsp:txBody>
      <dsp:txXfrm>
        <a:off x="2125709" y="1954949"/>
        <a:ext cx="1478185" cy="487144"/>
      </dsp:txXfrm>
    </dsp:sp>
    <dsp:sp modelId="{ECBE8675-1CA0-453B-A8BB-AF50C4FA67B4}">
      <dsp:nvSpPr>
        <dsp:cNvPr id="0" name=""/>
        <dsp:cNvSpPr/>
      </dsp:nvSpPr>
      <dsp:spPr>
        <a:xfrm>
          <a:off x="2110553" y="2536859"/>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2.</a:t>
          </a:r>
          <a:r>
            <a:rPr lang="bs-Latn-BA" sz="800" b="0" u="none" kern="1200">
              <a:ln/>
              <a:latin typeface="Cambria"/>
              <a:ea typeface="+mn-ea"/>
              <a:cs typeface="+mn-cs"/>
            </a:rPr>
            <a:t>3</a:t>
          </a:r>
          <a:r>
            <a:rPr lang="en-GB" sz="800" b="0" u="none" kern="1200">
              <a:ln/>
              <a:latin typeface="Cambria"/>
              <a:ea typeface="+mn-ea"/>
              <a:cs typeface="+mn-cs"/>
            </a:rPr>
            <a:t>. Prevencija i zaštita od nasilja u porodici i nasilja na </a:t>
          </a:r>
          <a:r>
            <a:rPr lang="bs-Latn-BA" sz="800" b="0" u="none" kern="1200">
              <a:ln/>
              <a:latin typeface="Cambria"/>
              <a:ea typeface="+mn-ea"/>
              <a:cs typeface="+mn-cs"/>
            </a:rPr>
            <a:t>osnovu spola</a:t>
          </a:r>
          <a:endParaRPr lang="en-GB" sz="800" b="0" u="none" kern="1200">
            <a:ln/>
            <a:latin typeface="Cambria"/>
            <a:ea typeface="+mn-ea"/>
            <a:cs typeface="+mn-cs"/>
          </a:endParaRPr>
        </a:p>
      </dsp:txBody>
      <dsp:txXfrm>
        <a:off x="2125709" y="2552015"/>
        <a:ext cx="1478185" cy="487144"/>
      </dsp:txXfrm>
    </dsp:sp>
    <dsp:sp modelId="{92E0D6B9-2D63-4827-98C6-12123F3FA6E5}">
      <dsp:nvSpPr>
        <dsp:cNvPr id="0" name=""/>
        <dsp:cNvSpPr/>
      </dsp:nvSpPr>
      <dsp:spPr>
        <a:xfrm>
          <a:off x="2110553" y="3133924"/>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2.</a:t>
          </a:r>
          <a:r>
            <a:rPr lang="bs-Latn-BA" sz="800" b="0" u="none" kern="1200">
              <a:ln/>
              <a:latin typeface="Cambria"/>
              <a:ea typeface="+mn-ea"/>
              <a:cs typeface="+mn-cs"/>
            </a:rPr>
            <a:t>4</a:t>
          </a:r>
          <a:r>
            <a:rPr lang="en-GB" sz="800" b="0" u="none" kern="1200">
              <a:ln/>
              <a:latin typeface="Cambria"/>
              <a:ea typeface="+mn-ea"/>
              <a:cs typeface="+mn-cs"/>
            </a:rPr>
            <a:t>. Osigurana ravnopravna zastupljenost osoba muškog i ženskog spola u tijelima nad kojima Kanton vrši nadzor</a:t>
          </a:r>
        </a:p>
      </dsp:txBody>
      <dsp:txXfrm>
        <a:off x="2125709" y="3149080"/>
        <a:ext cx="1478185" cy="487144"/>
      </dsp:txXfrm>
    </dsp:sp>
    <dsp:sp modelId="{797E4662-144D-471E-B289-609F1209C52F}">
      <dsp:nvSpPr>
        <dsp:cNvPr id="0" name=""/>
        <dsp:cNvSpPr/>
      </dsp:nvSpPr>
      <dsp:spPr>
        <a:xfrm>
          <a:off x="2110553" y="3730989"/>
          <a:ext cx="1508497" cy="5174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bs-Latn-BA" sz="800" b="0" u="none" kern="1200">
              <a:ln/>
              <a:latin typeface="Cambria"/>
              <a:ea typeface="+mn-ea"/>
              <a:cs typeface="+mn-cs"/>
            </a:rPr>
            <a:t>2.5. Unaprijeđeno zdravlje i seksualno i reproduktivno zdravlje</a:t>
          </a:r>
          <a:endParaRPr lang="en-GB" sz="800" b="0" u="none" kern="1200">
            <a:ln/>
            <a:latin typeface="Cambria"/>
            <a:ea typeface="+mn-ea"/>
            <a:cs typeface="+mn-cs"/>
          </a:endParaRPr>
        </a:p>
      </dsp:txBody>
      <dsp:txXfrm>
        <a:off x="2125709" y="3746145"/>
        <a:ext cx="1478185" cy="487144"/>
      </dsp:txXfrm>
    </dsp:sp>
    <dsp:sp modelId="{B8D19E46-DDAD-457F-B901-635613BDBDE7}">
      <dsp:nvSpPr>
        <dsp:cNvPr id="0" name=""/>
        <dsp:cNvSpPr/>
      </dsp:nvSpPr>
      <dsp:spPr>
        <a:xfrm>
          <a:off x="3843704" y="0"/>
          <a:ext cx="1885621" cy="447294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Font typeface="Times New Roman" panose="02020603050405020304" pitchFamily="18" charset="0"/>
            <a:buNone/>
          </a:pPr>
          <a:endParaRPr lang="bs-Latn-BA" sz="900" b="1" u="none" kern="1200">
            <a:latin typeface="Cambria"/>
            <a:ea typeface="+mn-ea"/>
            <a:cs typeface="+mn-cs"/>
          </a:endParaRPr>
        </a:p>
        <a:p>
          <a:pPr lvl="0" algn="ctr" defTabSz="400050">
            <a:lnSpc>
              <a:spcPct val="90000"/>
            </a:lnSpc>
            <a:spcBef>
              <a:spcPct val="0"/>
            </a:spcBef>
            <a:spcAft>
              <a:spcPct val="35000"/>
            </a:spcAft>
            <a:buFont typeface="Times New Roman" panose="02020603050405020304" pitchFamily="18" charset="0"/>
            <a:buNone/>
          </a:pPr>
          <a:r>
            <a:rPr lang="bs-Latn-BA" sz="1200" b="1" u="none" kern="1200">
              <a:latin typeface="Cambria"/>
              <a:ea typeface="+mn-ea"/>
              <a:cs typeface="+mn-cs"/>
            </a:rPr>
            <a:t>Srednjeročni cilj 3.</a:t>
          </a:r>
        </a:p>
        <a:p>
          <a:pPr lvl="0" algn="ctr" defTabSz="400050">
            <a:lnSpc>
              <a:spcPct val="90000"/>
            </a:lnSpc>
            <a:spcBef>
              <a:spcPct val="0"/>
            </a:spcBef>
            <a:spcAft>
              <a:spcPct val="35000"/>
            </a:spcAft>
            <a:buFont typeface="Times New Roman" panose="02020603050405020304" pitchFamily="18" charset="0"/>
            <a:buNone/>
          </a:pPr>
          <a:r>
            <a:rPr lang="bs-Latn-BA" sz="1200" b="0" u="none" kern="1200">
              <a:latin typeface="Cambria"/>
              <a:ea typeface="+mn-ea"/>
              <a:cs typeface="+mn-cs"/>
            </a:rPr>
            <a:t>Prati se stanje i sarađuje sa drugim akterima na unapređenju stanja ravnopravnosti spolova</a:t>
          </a:r>
          <a:endParaRPr lang="en-GB" sz="1200" b="0" u="none" kern="1200">
            <a:latin typeface="Cambria"/>
            <a:ea typeface="+mn-ea"/>
            <a:cs typeface="+mn-cs"/>
          </a:endParaRPr>
        </a:p>
      </dsp:txBody>
      <dsp:txXfrm>
        <a:off x="3843704" y="0"/>
        <a:ext cx="1885621" cy="1341882"/>
      </dsp:txXfrm>
    </dsp:sp>
    <dsp:sp modelId="{C01DE590-6A8A-4527-B96E-6497372523A9}">
      <dsp:nvSpPr>
        <dsp:cNvPr id="0" name=""/>
        <dsp:cNvSpPr/>
      </dsp:nvSpPr>
      <dsp:spPr>
        <a:xfrm>
          <a:off x="4032266" y="1342264"/>
          <a:ext cx="1508497" cy="87875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Font typeface="Times New Roman" panose="02020603050405020304" pitchFamily="18" charset="0"/>
            <a:buNone/>
          </a:pPr>
          <a:r>
            <a:rPr lang="en-GB" sz="800" b="0" u="none" kern="1200">
              <a:ln/>
              <a:latin typeface="Cambria"/>
              <a:ea typeface="+mn-ea"/>
              <a:cs typeface="+mn-cs"/>
            </a:rPr>
            <a:t>3.1. Kanton doprinosi promociji ravnopravnost spolova</a:t>
          </a:r>
        </a:p>
      </dsp:txBody>
      <dsp:txXfrm>
        <a:off x="4058004" y="1368002"/>
        <a:ext cx="1457021" cy="827277"/>
      </dsp:txXfrm>
    </dsp:sp>
    <dsp:sp modelId="{08B45FD9-1755-4A74-B46B-19EE017DF072}">
      <dsp:nvSpPr>
        <dsp:cNvPr id="0" name=""/>
        <dsp:cNvSpPr/>
      </dsp:nvSpPr>
      <dsp:spPr>
        <a:xfrm>
          <a:off x="4032266" y="2356210"/>
          <a:ext cx="1508497" cy="87875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3.2. Redovno se prati stanje ravnopravnosti spolova na području</a:t>
          </a:r>
        </a:p>
      </dsp:txBody>
      <dsp:txXfrm>
        <a:off x="4058004" y="2381948"/>
        <a:ext cx="1457021" cy="827277"/>
      </dsp:txXfrm>
    </dsp:sp>
    <dsp:sp modelId="{85BABF7C-9F66-48CA-919E-614DC241976D}">
      <dsp:nvSpPr>
        <dsp:cNvPr id="0" name=""/>
        <dsp:cNvSpPr/>
      </dsp:nvSpPr>
      <dsp:spPr>
        <a:xfrm>
          <a:off x="4032266" y="3370157"/>
          <a:ext cx="1508497" cy="87875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buNone/>
          </a:pPr>
          <a:r>
            <a:rPr lang="en-GB" sz="800" b="0" u="none" kern="1200">
              <a:ln/>
              <a:latin typeface="Cambria"/>
              <a:ea typeface="+mn-ea"/>
              <a:cs typeface="+mn-cs"/>
            </a:rPr>
            <a:t>3.3. Civilno društvo učestvuje u definiranju prioriteta za djelovanje u oblasti ravnopravnosti spolova</a:t>
          </a:r>
        </a:p>
      </dsp:txBody>
      <dsp:txXfrm>
        <a:off x="4058004" y="3395895"/>
        <a:ext cx="1457021" cy="82727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SqxcrXHxRIDU7FjoR0INJob2g==">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53CCB0-863F-46A6-BE04-97FAF077C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7400</Words>
  <Characters>42180</Characters>
  <Application>Microsoft Office Word</Application>
  <DocSecurity>0</DocSecurity>
  <Lines>351</Lines>
  <Paragraphs>98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49482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MRSPP_10.25</cp:lastModifiedBy>
  <cp:revision>2</cp:revision>
  <cp:lastPrinted>2025-04-11T05:54:00Z</cp:lastPrinted>
  <dcterms:created xsi:type="dcterms:W3CDTF">2025-11-17T08:50:00Z</dcterms:created>
  <dcterms:modified xsi:type="dcterms:W3CDTF">2025-11-17T08:50:00Z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2057-12.2.0.13489</vt:lpwstr>
  </property>
  <property fmtid="{D5CDD505-2E9C-101B-9397-08002B2CF9AE}" pid="3" name="ICV">
    <vt:lpwstr>87CC816217324AC69FEEC0D2A9F05F17_11</vt:lpwstr>
  </property>
</Properties>
</file>