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3B1F" w:rsidRPr="00033459" w:rsidRDefault="00942562" w:rsidP="002F596A">
      <w:pPr>
        <w:jc w:val="both"/>
        <w:rPr>
          <w:rFonts w:ascii="Cambria" w:eastAsia="Times New Roman" w:hAnsi="Cambria" w:cs="Times New Roman"/>
          <w:lang w:val="bs-Latn-BA"/>
        </w:rPr>
      </w:pPr>
      <w:bookmarkStart w:id="0" w:name="_GoBack"/>
      <w:bookmarkEnd w:id="0"/>
      <w:r w:rsidRPr="00033459">
        <w:rPr>
          <w:rFonts w:ascii="Cambria" w:eastAsia="Times New Roman" w:hAnsi="Cambria" w:cs="Times New Roman"/>
          <w:highlight w:val="green"/>
          <w:lang w:val="bs-Latn-BA"/>
        </w:rPr>
        <w:t xml:space="preserve"> </w:t>
      </w:r>
    </w:p>
    <w:p w:rsidR="00993B1F" w:rsidRPr="00033459" w:rsidRDefault="00993B1F" w:rsidP="002F596A">
      <w:pPr>
        <w:jc w:val="both"/>
        <w:rPr>
          <w:rFonts w:ascii="Cambria" w:eastAsia="Times New Roman" w:hAnsi="Cambria" w:cs="Times New Roman"/>
          <w:lang w:val="bs-Latn-BA"/>
        </w:rPr>
      </w:pPr>
    </w:p>
    <w:p w:rsidR="00993B1F" w:rsidRPr="00033459" w:rsidRDefault="00993B1F" w:rsidP="002F596A">
      <w:pPr>
        <w:jc w:val="both"/>
        <w:rPr>
          <w:rFonts w:ascii="Cambria" w:eastAsia="Times New Roman" w:hAnsi="Cambria" w:cs="Times New Roman"/>
          <w:lang w:val="bs-Latn-BA"/>
        </w:rPr>
      </w:pPr>
    </w:p>
    <w:p w:rsidR="00993B1F" w:rsidRPr="00033459" w:rsidRDefault="002F596A" w:rsidP="002F596A">
      <w:pPr>
        <w:jc w:val="center"/>
        <w:rPr>
          <w:rFonts w:ascii="Cambria" w:eastAsia="Times New Roman" w:hAnsi="Cambria" w:cs="Times New Roman"/>
          <w:lang w:val="bs-Latn-BA"/>
        </w:rPr>
      </w:pPr>
      <w:r w:rsidRPr="00033459">
        <w:rPr>
          <w:noProof/>
          <w:lang w:val="bs-Latn-BA" w:eastAsia="bs-Latn-BA"/>
        </w:rPr>
        <w:drawing>
          <wp:inline distT="0" distB="0" distL="0" distR="0" wp14:anchorId="63D2B413" wp14:editId="25533A69">
            <wp:extent cx="3394710" cy="2117276"/>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logo-tk-szz.jpg"/>
                    <pic:cNvPicPr/>
                  </pic:nvPicPr>
                  <pic:blipFill>
                    <a:blip r:embed="rId9">
                      <a:extLst>
                        <a:ext uri="{28A0092B-C50C-407E-A947-70E740481C1C}">
                          <a14:useLocalDpi xmlns:a14="http://schemas.microsoft.com/office/drawing/2010/main" val="0"/>
                        </a:ext>
                      </a:extLst>
                    </a:blip>
                    <a:stretch>
                      <a:fillRect/>
                    </a:stretch>
                  </pic:blipFill>
                  <pic:spPr>
                    <a:xfrm>
                      <a:off x="0" y="0"/>
                      <a:ext cx="3397142" cy="2118793"/>
                    </a:xfrm>
                    <a:prstGeom prst="rect">
                      <a:avLst/>
                    </a:prstGeom>
                  </pic:spPr>
                </pic:pic>
              </a:graphicData>
            </a:graphic>
          </wp:inline>
        </w:drawing>
      </w:r>
    </w:p>
    <w:p w:rsidR="00993B1F" w:rsidRPr="00033459" w:rsidRDefault="00993B1F" w:rsidP="002F596A">
      <w:pPr>
        <w:jc w:val="both"/>
        <w:rPr>
          <w:rFonts w:ascii="Cambria" w:eastAsia="Times New Roman" w:hAnsi="Cambria" w:cs="Times New Roman"/>
          <w:lang w:val="bs-Latn-BA"/>
        </w:rPr>
      </w:pPr>
    </w:p>
    <w:p w:rsidR="00993B1F" w:rsidRPr="00033459" w:rsidRDefault="00993B1F" w:rsidP="002F596A">
      <w:pPr>
        <w:jc w:val="both"/>
        <w:rPr>
          <w:rFonts w:ascii="Cambria" w:eastAsia="Times New Roman" w:hAnsi="Cambria" w:cs="Times New Roman"/>
          <w:b/>
          <w:bCs/>
          <w:lang w:val="bs-Latn-BA"/>
        </w:rPr>
      </w:pPr>
    </w:p>
    <w:p w:rsidR="00993B1F" w:rsidRPr="00033459" w:rsidRDefault="00942562" w:rsidP="002F596A">
      <w:pPr>
        <w:jc w:val="center"/>
        <w:rPr>
          <w:rFonts w:ascii="Cambria" w:eastAsia="Times New Roman" w:hAnsi="Cambria" w:cs="Times New Roman"/>
          <w:b/>
          <w:bCs/>
          <w:sz w:val="28"/>
          <w:szCs w:val="28"/>
          <w:lang w:val="bs-Latn-BA"/>
        </w:rPr>
      </w:pPr>
      <w:r w:rsidRPr="00033459">
        <w:rPr>
          <w:rFonts w:ascii="Cambria" w:eastAsia="Times New Roman" w:hAnsi="Cambria" w:cs="Times New Roman"/>
          <w:b/>
          <w:bCs/>
          <w:sz w:val="28"/>
          <w:szCs w:val="28"/>
          <w:lang w:val="bs-Latn-BA"/>
        </w:rPr>
        <w:t>IZVJEŠTAJ O PROVOĐENJU GENDER AKCIONOG PLANA TUZLANSKOG KANTONA</w:t>
      </w:r>
      <w:r w:rsidR="00E257D2" w:rsidRPr="00033459">
        <w:rPr>
          <w:rFonts w:ascii="Cambria" w:eastAsia="Times New Roman" w:hAnsi="Cambria" w:cs="Times New Roman"/>
          <w:b/>
          <w:bCs/>
          <w:sz w:val="28"/>
          <w:szCs w:val="28"/>
          <w:lang w:val="bs-Latn-BA"/>
        </w:rPr>
        <w:t xml:space="preserve"> </w:t>
      </w:r>
      <w:r w:rsidRPr="00033459">
        <w:rPr>
          <w:rFonts w:ascii="Cambria" w:eastAsia="Times New Roman" w:hAnsi="Cambria" w:cs="Times New Roman"/>
          <w:b/>
          <w:bCs/>
          <w:sz w:val="28"/>
          <w:szCs w:val="28"/>
          <w:lang w:val="bs-Latn-BA"/>
        </w:rPr>
        <w:t>(GAP</w:t>
      </w:r>
      <w:r w:rsidR="00E257D2" w:rsidRPr="00033459">
        <w:rPr>
          <w:rFonts w:ascii="Cambria" w:eastAsia="Times New Roman" w:hAnsi="Cambria" w:cs="Times New Roman"/>
          <w:b/>
          <w:bCs/>
          <w:sz w:val="28"/>
          <w:szCs w:val="28"/>
          <w:lang w:val="bs-Latn-BA"/>
        </w:rPr>
        <w:t xml:space="preserve"> </w:t>
      </w:r>
      <w:r w:rsidRPr="00033459">
        <w:rPr>
          <w:rFonts w:ascii="Cambria" w:eastAsia="Times New Roman" w:hAnsi="Cambria" w:cs="Times New Roman"/>
          <w:b/>
          <w:bCs/>
          <w:sz w:val="28"/>
          <w:szCs w:val="28"/>
          <w:lang w:val="bs-Latn-BA"/>
        </w:rPr>
        <w:t>TK) ZA PERIOD OD 2021. DO 2024. GODINE</w:t>
      </w:r>
    </w:p>
    <w:p w:rsidR="00993B1F" w:rsidRPr="00033459" w:rsidRDefault="00942562" w:rsidP="002F596A">
      <w:pPr>
        <w:jc w:val="center"/>
        <w:rPr>
          <w:rFonts w:ascii="Cambria" w:eastAsia="Times New Roman" w:hAnsi="Cambria" w:cs="Times New Roman"/>
          <w:b/>
          <w:bCs/>
          <w:sz w:val="28"/>
          <w:szCs w:val="28"/>
          <w:lang w:val="bs-Latn-BA"/>
        </w:rPr>
      </w:pPr>
      <w:r w:rsidRPr="00033459">
        <w:rPr>
          <w:rFonts w:ascii="Cambria" w:eastAsia="Times New Roman" w:hAnsi="Cambria" w:cs="Times New Roman"/>
          <w:b/>
          <w:bCs/>
          <w:sz w:val="28"/>
          <w:szCs w:val="28"/>
          <w:lang w:val="bs-Latn-BA"/>
        </w:rPr>
        <w:t>ZA PERIOD 01.01.2024. DO 31.12.2024.GODINE</w:t>
      </w:r>
    </w:p>
    <w:p w:rsidR="00993B1F" w:rsidRPr="00033459" w:rsidRDefault="00993B1F" w:rsidP="002F596A">
      <w:pPr>
        <w:jc w:val="both"/>
        <w:rPr>
          <w:rFonts w:ascii="Cambria" w:eastAsia="Times New Roman" w:hAnsi="Cambria" w:cs="Times New Roman"/>
          <w:lang w:val="bs-Latn-BA"/>
        </w:rPr>
      </w:pPr>
    </w:p>
    <w:p w:rsidR="00993B1F" w:rsidRPr="00033459" w:rsidRDefault="00993B1F" w:rsidP="002F596A">
      <w:pPr>
        <w:jc w:val="both"/>
        <w:rPr>
          <w:rFonts w:ascii="Cambria" w:eastAsia="Times New Roman" w:hAnsi="Cambria" w:cs="Times New Roman"/>
          <w:lang w:val="bs-Latn-BA"/>
        </w:rPr>
      </w:pPr>
    </w:p>
    <w:p w:rsidR="00993B1F" w:rsidRPr="00033459" w:rsidRDefault="00993B1F" w:rsidP="002F596A">
      <w:pPr>
        <w:jc w:val="both"/>
        <w:rPr>
          <w:rFonts w:ascii="Cambria" w:eastAsia="Times New Roman" w:hAnsi="Cambria" w:cs="Times New Roman"/>
          <w:lang w:val="bs-Latn-BA"/>
        </w:rPr>
      </w:pPr>
    </w:p>
    <w:p w:rsidR="00993B1F" w:rsidRPr="00033459" w:rsidRDefault="00993B1F" w:rsidP="002F596A">
      <w:pPr>
        <w:jc w:val="both"/>
        <w:rPr>
          <w:rFonts w:ascii="Cambria" w:eastAsia="Times New Roman" w:hAnsi="Cambria" w:cs="Times New Roman"/>
          <w:lang w:val="bs-Latn-BA"/>
        </w:rPr>
      </w:pPr>
    </w:p>
    <w:p w:rsidR="00993B1F" w:rsidRPr="00033459" w:rsidRDefault="00993B1F" w:rsidP="002F596A">
      <w:pPr>
        <w:jc w:val="both"/>
        <w:rPr>
          <w:rFonts w:ascii="Cambria" w:eastAsia="Times New Roman" w:hAnsi="Cambria" w:cs="Times New Roman"/>
          <w:lang w:val="bs-Latn-BA"/>
        </w:rPr>
      </w:pPr>
    </w:p>
    <w:p w:rsidR="00993B1F" w:rsidRPr="00033459" w:rsidRDefault="00993B1F" w:rsidP="002F596A">
      <w:pPr>
        <w:jc w:val="both"/>
        <w:rPr>
          <w:rFonts w:ascii="Cambria" w:eastAsia="Times New Roman" w:hAnsi="Cambria" w:cs="Times New Roman"/>
          <w:lang w:val="bs-Latn-BA"/>
        </w:rPr>
      </w:pPr>
    </w:p>
    <w:p w:rsidR="00993B1F" w:rsidRPr="00033459" w:rsidRDefault="00993B1F" w:rsidP="002F596A">
      <w:pPr>
        <w:jc w:val="both"/>
        <w:rPr>
          <w:rFonts w:ascii="Cambria" w:eastAsia="Times New Roman" w:hAnsi="Cambria" w:cs="Times New Roman"/>
          <w:lang w:val="bs-Latn-BA"/>
        </w:rPr>
      </w:pPr>
    </w:p>
    <w:p w:rsidR="00993B1F" w:rsidRPr="00033459" w:rsidRDefault="00993B1F" w:rsidP="002F596A">
      <w:pPr>
        <w:jc w:val="both"/>
        <w:rPr>
          <w:rFonts w:ascii="Cambria" w:eastAsia="Times New Roman" w:hAnsi="Cambria" w:cs="Times New Roman"/>
          <w:lang w:val="bs-Latn-BA"/>
        </w:rPr>
      </w:pPr>
    </w:p>
    <w:p w:rsidR="00993B1F" w:rsidRPr="00033459" w:rsidRDefault="00993B1F" w:rsidP="002F596A">
      <w:pPr>
        <w:jc w:val="both"/>
        <w:rPr>
          <w:rFonts w:ascii="Cambria" w:eastAsia="Times New Roman" w:hAnsi="Cambria" w:cs="Times New Roman"/>
          <w:lang w:val="bs-Latn-BA"/>
        </w:rPr>
      </w:pPr>
    </w:p>
    <w:p w:rsidR="00993B1F" w:rsidRPr="00033459" w:rsidRDefault="00993B1F" w:rsidP="002F596A">
      <w:pPr>
        <w:jc w:val="both"/>
        <w:rPr>
          <w:rFonts w:ascii="Cambria" w:eastAsia="Times New Roman" w:hAnsi="Cambria" w:cs="Times New Roman"/>
          <w:lang w:val="bs-Latn-BA"/>
        </w:rPr>
      </w:pPr>
    </w:p>
    <w:p w:rsidR="00993B1F" w:rsidRPr="00033459" w:rsidRDefault="002F596A" w:rsidP="002F596A">
      <w:pPr>
        <w:jc w:val="center"/>
        <w:rPr>
          <w:rFonts w:ascii="Cambria" w:eastAsia="Times New Roman" w:hAnsi="Cambria" w:cs="Times New Roman"/>
          <w:lang w:val="bs-Latn-BA"/>
        </w:rPr>
      </w:pPr>
      <w:r w:rsidRPr="00033459">
        <w:rPr>
          <w:rFonts w:ascii="Cambria" w:eastAsia="Times New Roman" w:hAnsi="Cambria" w:cs="Times New Roman"/>
          <w:lang w:val="bs-Latn-BA"/>
        </w:rPr>
        <w:t>April, 2025.</w:t>
      </w:r>
    </w:p>
    <w:p w:rsidR="00993B1F" w:rsidRPr="00033459" w:rsidRDefault="00942562" w:rsidP="002F596A">
      <w:pPr>
        <w:jc w:val="center"/>
        <w:rPr>
          <w:rFonts w:ascii="Cambria" w:eastAsia="Times New Roman" w:hAnsi="Cambria" w:cs="Times New Roman"/>
          <w:lang w:val="bs-Latn-BA"/>
        </w:rPr>
      </w:pPr>
      <w:r w:rsidRPr="00033459">
        <w:rPr>
          <w:rFonts w:ascii="Cambria" w:hAnsi="Cambria"/>
          <w:lang w:val="bs-Latn-BA"/>
        </w:rPr>
        <w:br w:type="page"/>
      </w:r>
    </w:p>
    <w:p w:rsidR="00993B1F" w:rsidRPr="00033459" w:rsidRDefault="00993B1F" w:rsidP="00E542BE">
      <w:pPr>
        <w:pStyle w:val="Heading1"/>
      </w:pPr>
    </w:p>
    <w:p w:rsidR="004F32B1" w:rsidRDefault="00942562" w:rsidP="00E542BE">
      <w:pPr>
        <w:pStyle w:val="Heading1"/>
      </w:pPr>
      <w:bookmarkStart w:id="1" w:name="_Toc195186398"/>
      <w:r w:rsidRPr="00033459">
        <w:t>Sadržaj</w:t>
      </w:r>
      <w:bookmarkEnd w:id="1"/>
    </w:p>
    <w:sdt>
      <w:sdtPr>
        <w:rPr>
          <w:rFonts w:ascii="Calibri" w:eastAsiaTheme="minorHAnsi" w:hAnsi="Calibri" w:cs="Calibri"/>
          <w:color w:val="auto"/>
          <w:sz w:val="22"/>
          <w:szCs w:val="22"/>
          <w:lang w:val="en-GB"/>
        </w:rPr>
        <w:id w:val="-395356165"/>
        <w:docPartObj>
          <w:docPartGallery w:val="Table of Contents"/>
          <w:docPartUnique/>
        </w:docPartObj>
      </w:sdtPr>
      <w:sdtEndPr>
        <w:rPr>
          <w:rFonts w:ascii="Gill Sans MT" w:hAnsi="Gill Sans MT"/>
          <w:b/>
          <w:bCs/>
          <w:noProof/>
        </w:rPr>
      </w:sdtEndPr>
      <w:sdtContent>
        <w:p w:rsidR="00E542BE" w:rsidRPr="00E542BE" w:rsidRDefault="00E542BE" w:rsidP="00E542BE">
          <w:pPr>
            <w:pStyle w:val="TOCHeading"/>
            <w:rPr>
              <w:rFonts w:ascii="Gill Sans MT" w:eastAsiaTheme="minorEastAsia" w:hAnsi="Gill Sans MT" w:cstheme="minorBidi"/>
              <w:noProof/>
              <w:kern w:val="2"/>
              <w:sz w:val="24"/>
              <w:szCs w:val="24"/>
              <w:lang w:eastAsia="en-GB"/>
              <w14:ligatures w14:val="standardContextual"/>
            </w:rPr>
          </w:pPr>
          <w:r w:rsidRPr="00E542BE">
            <w:rPr>
              <w:rFonts w:ascii="Gill Sans MT" w:hAnsi="Gill Sans MT"/>
            </w:rPr>
            <w:fldChar w:fldCharType="begin"/>
          </w:r>
          <w:r w:rsidRPr="00E542BE">
            <w:rPr>
              <w:rFonts w:ascii="Gill Sans MT" w:hAnsi="Gill Sans MT"/>
            </w:rPr>
            <w:instrText xml:space="preserve"> TOC \o "1-3" \h \z \u </w:instrText>
          </w:r>
          <w:r w:rsidRPr="00E542BE">
            <w:rPr>
              <w:rFonts w:ascii="Gill Sans MT" w:hAnsi="Gill Sans MT"/>
            </w:rPr>
            <w:fldChar w:fldCharType="separate"/>
          </w:r>
        </w:p>
        <w:p w:rsidR="00E542BE" w:rsidRPr="00E542BE" w:rsidRDefault="00CC26AD">
          <w:pPr>
            <w:pStyle w:val="TOC1"/>
            <w:tabs>
              <w:tab w:val="right" w:leader="dot" w:pos="9016"/>
            </w:tabs>
            <w:rPr>
              <w:rFonts w:ascii="Gill Sans MT" w:eastAsiaTheme="minorEastAsia" w:hAnsi="Gill Sans MT" w:cstheme="minorBidi"/>
              <w:noProof/>
              <w:kern w:val="2"/>
              <w:sz w:val="24"/>
              <w:szCs w:val="24"/>
              <w:lang w:eastAsia="en-GB"/>
              <w14:ligatures w14:val="standardContextual"/>
            </w:rPr>
          </w:pPr>
          <w:hyperlink w:anchor="_Toc195186399" w:history="1">
            <w:r w:rsidR="00E542BE" w:rsidRPr="00E542BE">
              <w:rPr>
                <w:rStyle w:val="Hyperlink"/>
                <w:rFonts w:ascii="Gill Sans MT" w:hAnsi="Gill Sans MT"/>
                <w:noProof/>
                <w:lang w:val="bs-Latn-BA"/>
              </w:rPr>
              <w:t>UVOD</w:t>
            </w:r>
            <w:r w:rsidR="00E542BE" w:rsidRPr="00E542BE">
              <w:rPr>
                <w:rFonts w:ascii="Gill Sans MT" w:hAnsi="Gill Sans MT"/>
                <w:noProof/>
                <w:webHidden/>
              </w:rPr>
              <w:tab/>
            </w:r>
            <w:r w:rsidR="00E542BE" w:rsidRPr="00E542BE">
              <w:rPr>
                <w:rFonts w:ascii="Gill Sans MT" w:hAnsi="Gill Sans MT"/>
                <w:noProof/>
                <w:webHidden/>
              </w:rPr>
              <w:fldChar w:fldCharType="begin"/>
            </w:r>
            <w:r w:rsidR="00E542BE" w:rsidRPr="00E542BE">
              <w:rPr>
                <w:rFonts w:ascii="Gill Sans MT" w:hAnsi="Gill Sans MT"/>
                <w:noProof/>
                <w:webHidden/>
              </w:rPr>
              <w:instrText xml:space="preserve"> PAGEREF _Toc195186399 \h </w:instrText>
            </w:r>
            <w:r w:rsidR="00E542BE" w:rsidRPr="00E542BE">
              <w:rPr>
                <w:rFonts w:ascii="Gill Sans MT" w:hAnsi="Gill Sans MT"/>
                <w:noProof/>
                <w:webHidden/>
              </w:rPr>
            </w:r>
            <w:r w:rsidR="00E542BE" w:rsidRPr="00E542BE">
              <w:rPr>
                <w:rFonts w:ascii="Gill Sans MT" w:hAnsi="Gill Sans MT"/>
                <w:noProof/>
                <w:webHidden/>
              </w:rPr>
              <w:fldChar w:fldCharType="separate"/>
            </w:r>
            <w:r w:rsidR="00E0089A">
              <w:rPr>
                <w:rFonts w:ascii="Gill Sans MT" w:hAnsi="Gill Sans MT"/>
                <w:noProof/>
                <w:webHidden/>
              </w:rPr>
              <w:t>3</w:t>
            </w:r>
            <w:r w:rsidR="00E542BE" w:rsidRPr="00E542BE">
              <w:rPr>
                <w:rFonts w:ascii="Gill Sans MT" w:hAnsi="Gill Sans MT"/>
                <w:noProof/>
                <w:webHidden/>
              </w:rPr>
              <w:fldChar w:fldCharType="end"/>
            </w:r>
          </w:hyperlink>
        </w:p>
        <w:p w:rsidR="00E542BE" w:rsidRPr="00E542BE" w:rsidRDefault="00CC26AD">
          <w:pPr>
            <w:pStyle w:val="TOC1"/>
            <w:tabs>
              <w:tab w:val="right" w:leader="dot" w:pos="9016"/>
            </w:tabs>
            <w:rPr>
              <w:rFonts w:ascii="Gill Sans MT" w:eastAsiaTheme="minorEastAsia" w:hAnsi="Gill Sans MT" w:cstheme="minorBidi"/>
              <w:b/>
              <w:bCs/>
              <w:noProof/>
              <w:kern w:val="2"/>
              <w:sz w:val="24"/>
              <w:szCs w:val="24"/>
              <w:lang w:eastAsia="en-GB"/>
              <w14:ligatures w14:val="standardContextual"/>
            </w:rPr>
          </w:pPr>
          <w:hyperlink w:anchor="_Toc195186400" w:history="1">
            <w:r w:rsidR="00E542BE" w:rsidRPr="00E542BE">
              <w:rPr>
                <w:rStyle w:val="Hyperlink"/>
                <w:rFonts w:ascii="Gill Sans MT" w:hAnsi="Gill Sans MT"/>
                <w:b/>
                <w:bCs/>
                <w:noProof/>
                <w:lang w:val="bs-Latn-BA"/>
              </w:rPr>
              <w:t>1. SREDNJEROČNI CILJ 1. - MINISTARSTVA I SLUŽBE DJELUJU ZA RAVNOPRAVNOST SPOLOVA</w:t>
            </w:r>
            <w:r w:rsidR="00E542BE" w:rsidRPr="00E542BE">
              <w:rPr>
                <w:rFonts w:ascii="Gill Sans MT" w:hAnsi="Gill Sans MT"/>
                <w:b/>
                <w:bCs/>
                <w:noProof/>
                <w:webHidden/>
              </w:rPr>
              <w:tab/>
            </w:r>
            <w:r w:rsidR="00E542BE" w:rsidRPr="00E542BE">
              <w:rPr>
                <w:rFonts w:ascii="Gill Sans MT" w:hAnsi="Gill Sans MT"/>
                <w:b/>
                <w:bCs/>
                <w:noProof/>
                <w:webHidden/>
              </w:rPr>
              <w:fldChar w:fldCharType="begin"/>
            </w:r>
            <w:r w:rsidR="00E542BE" w:rsidRPr="00E542BE">
              <w:rPr>
                <w:rFonts w:ascii="Gill Sans MT" w:hAnsi="Gill Sans MT"/>
                <w:b/>
                <w:bCs/>
                <w:noProof/>
                <w:webHidden/>
              </w:rPr>
              <w:instrText xml:space="preserve"> PAGEREF _Toc195186400 \h </w:instrText>
            </w:r>
            <w:r w:rsidR="00E542BE" w:rsidRPr="00E542BE">
              <w:rPr>
                <w:rFonts w:ascii="Gill Sans MT" w:hAnsi="Gill Sans MT"/>
                <w:b/>
                <w:bCs/>
                <w:noProof/>
                <w:webHidden/>
              </w:rPr>
            </w:r>
            <w:r w:rsidR="00E542BE" w:rsidRPr="00E542BE">
              <w:rPr>
                <w:rFonts w:ascii="Gill Sans MT" w:hAnsi="Gill Sans MT"/>
                <w:b/>
                <w:bCs/>
                <w:noProof/>
                <w:webHidden/>
              </w:rPr>
              <w:fldChar w:fldCharType="separate"/>
            </w:r>
            <w:r w:rsidR="00E0089A">
              <w:rPr>
                <w:rFonts w:ascii="Gill Sans MT" w:hAnsi="Gill Sans MT"/>
                <w:b/>
                <w:bCs/>
                <w:noProof/>
                <w:webHidden/>
              </w:rPr>
              <w:t>5</w:t>
            </w:r>
            <w:r w:rsidR="00E542BE" w:rsidRPr="00E542BE">
              <w:rPr>
                <w:rFonts w:ascii="Gill Sans MT" w:hAnsi="Gill Sans MT"/>
                <w:b/>
                <w:bCs/>
                <w:noProof/>
                <w:webHidden/>
              </w:rPr>
              <w:fldChar w:fldCharType="end"/>
            </w:r>
          </w:hyperlink>
        </w:p>
        <w:p w:rsidR="00E542BE" w:rsidRPr="00E542BE" w:rsidRDefault="00CC26AD">
          <w:pPr>
            <w:pStyle w:val="TOC2"/>
            <w:tabs>
              <w:tab w:val="right" w:leader="dot" w:pos="9016"/>
            </w:tabs>
            <w:rPr>
              <w:rFonts w:ascii="Gill Sans MT" w:eastAsiaTheme="minorEastAsia" w:hAnsi="Gill Sans MT" w:cstheme="minorBidi"/>
              <w:noProof/>
              <w:kern w:val="2"/>
              <w:sz w:val="24"/>
              <w:szCs w:val="24"/>
              <w:lang w:eastAsia="en-GB"/>
              <w14:ligatures w14:val="standardContextual"/>
            </w:rPr>
          </w:pPr>
          <w:hyperlink w:anchor="_Toc195186401" w:history="1">
            <w:r w:rsidR="00E542BE" w:rsidRPr="00E542BE">
              <w:rPr>
                <w:rStyle w:val="Hyperlink"/>
                <w:rFonts w:ascii="Gill Sans MT" w:hAnsi="Gill Sans MT"/>
                <w:noProof/>
              </w:rPr>
              <w:t>1.1. Uspostavljeno kantonalno koordinacijsko tijelo za praćenje Gender akcionog plana</w:t>
            </w:r>
            <w:r w:rsidR="00E542BE" w:rsidRPr="00E542BE">
              <w:rPr>
                <w:rFonts w:ascii="Gill Sans MT" w:hAnsi="Gill Sans MT"/>
                <w:noProof/>
                <w:webHidden/>
              </w:rPr>
              <w:tab/>
            </w:r>
            <w:r w:rsidR="00E542BE" w:rsidRPr="00E542BE">
              <w:rPr>
                <w:rFonts w:ascii="Gill Sans MT" w:hAnsi="Gill Sans MT"/>
                <w:noProof/>
                <w:webHidden/>
              </w:rPr>
              <w:fldChar w:fldCharType="begin"/>
            </w:r>
            <w:r w:rsidR="00E542BE" w:rsidRPr="00E542BE">
              <w:rPr>
                <w:rFonts w:ascii="Gill Sans MT" w:hAnsi="Gill Sans MT"/>
                <w:noProof/>
                <w:webHidden/>
              </w:rPr>
              <w:instrText xml:space="preserve"> PAGEREF _Toc195186401 \h </w:instrText>
            </w:r>
            <w:r w:rsidR="00E542BE" w:rsidRPr="00E542BE">
              <w:rPr>
                <w:rFonts w:ascii="Gill Sans MT" w:hAnsi="Gill Sans MT"/>
                <w:noProof/>
                <w:webHidden/>
              </w:rPr>
            </w:r>
            <w:r w:rsidR="00E542BE" w:rsidRPr="00E542BE">
              <w:rPr>
                <w:rFonts w:ascii="Gill Sans MT" w:hAnsi="Gill Sans MT"/>
                <w:noProof/>
                <w:webHidden/>
              </w:rPr>
              <w:fldChar w:fldCharType="separate"/>
            </w:r>
            <w:r w:rsidR="00E0089A">
              <w:rPr>
                <w:rFonts w:ascii="Gill Sans MT" w:hAnsi="Gill Sans MT"/>
                <w:noProof/>
                <w:webHidden/>
              </w:rPr>
              <w:t>5</w:t>
            </w:r>
            <w:r w:rsidR="00E542BE" w:rsidRPr="00E542BE">
              <w:rPr>
                <w:rFonts w:ascii="Gill Sans MT" w:hAnsi="Gill Sans MT"/>
                <w:noProof/>
                <w:webHidden/>
              </w:rPr>
              <w:fldChar w:fldCharType="end"/>
            </w:r>
          </w:hyperlink>
        </w:p>
        <w:p w:rsidR="00E542BE" w:rsidRPr="00E542BE" w:rsidRDefault="00CC26AD">
          <w:pPr>
            <w:pStyle w:val="TOC2"/>
            <w:tabs>
              <w:tab w:val="right" w:leader="dot" w:pos="9016"/>
            </w:tabs>
            <w:rPr>
              <w:rFonts w:ascii="Gill Sans MT" w:eastAsiaTheme="minorEastAsia" w:hAnsi="Gill Sans MT" w:cstheme="minorBidi"/>
              <w:noProof/>
              <w:kern w:val="2"/>
              <w:sz w:val="24"/>
              <w:szCs w:val="24"/>
              <w:lang w:eastAsia="en-GB"/>
              <w14:ligatures w14:val="standardContextual"/>
            </w:rPr>
          </w:pPr>
          <w:hyperlink w:anchor="_Toc195186402" w:history="1">
            <w:r w:rsidR="00E542BE" w:rsidRPr="00E542BE">
              <w:rPr>
                <w:rStyle w:val="Hyperlink"/>
                <w:rFonts w:ascii="Gill Sans MT" w:hAnsi="Gill Sans MT"/>
                <w:noProof/>
              </w:rPr>
              <w:t>1.2. Kapaciteti koordinacionog odbora unaprijeđeni</w:t>
            </w:r>
            <w:r w:rsidR="00E542BE" w:rsidRPr="00E542BE">
              <w:rPr>
                <w:rFonts w:ascii="Gill Sans MT" w:hAnsi="Gill Sans MT"/>
                <w:noProof/>
                <w:webHidden/>
              </w:rPr>
              <w:tab/>
            </w:r>
            <w:r w:rsidR="00E542BE" w:rsidRPr="00E542BE">
              <w:rPr>
                <w:rFonts w:ascii="Gill Sans MT" w:hAnsi="Gill Sans MT"/>
                <w:noProof/>
                <w:webHidden/>
              </w:rPr>
              <w:fldChar w:fldCharType="begin"/>
            </w:r>
            <w:r w:rsidR="00E542BE" w:rsidRPr="00E542BE">
              <w:rPr>
                <w:rFonts w:ascii="Gill Sans MT" w:hAnsi="Gill Sans MT"/>
                <w:noProof/>
                <w:webHidden/>
              </w:rPr>
              <w:instrText xml:space="preserve"> PAGEREF _Toc195186402 \h </w:instrText>
            </w:r>
            <w:r w:rsidR="00E542BE" w:rsidRPr="00E542BE">
              <w:rPr>
                <w:rFonts w:ascii="Gill Sans MT" w:hAnsi="Gill Sans MT"/>
                <w:noProof/>
                <w:webHidden/>
              </w:rPr>
            </w:r>
            <w:r w:rsidR="00E542BE" w:rsidRPr="00E542BE">
              <w:rPr>
                <w:rFonts w:ascii="Gill Sans MT" w:hAnsi="Gill Sans MT"/>
                <w:noProof/>
                <w:webHidden/>
              </w:rPr>
              <w:fldChar w:fldCharType="separate"/>
            </w:r>
            <w:r w:rsidR="00E0089A">
              <w:rPr>
                <w:rFonts w:ascii="Gill Sans MT" w:hAnsi="Gill Sans MT"/>
                <w:noProof/>
                <w:webHidden/>
              </w:rPr>
              <w:t>5</w:t>
            </w:r>
            <w:r w:rsidR="00E542BE" w:rsidRPr="00E542BE">
              <w:rPr>
                <w:rFonts w:ascii="Gill Sans MT" w:hAnsi="Gill Sans MT"/>
                <w:noProof/>
                <w:webHidden/>
              </w:rPr>
              <w:fldChar w:fldCharType="end"/>
            </w:r>
          </w:hyperlink>
        </w:p>
        <w:p w:rsidR="00E542BE" w:rsidRPr="00E542BE" w:rsidRDefault="00CC26AD">
          <w:pPr>
            <w:pStyle w:val="TOC2"/>
            <w:tabs>
              <w:tab w:val="right" w:leader="dot" w:pos="9016"/>
            </w:tabs>
            <w:rPr>
              <w:rFonts w:ascii="Gill Sans MT" w:eastAsiaTheme="minorEastAsia" w:hAnsi="Gill Sans MT" w:cstheme="minorBidi"/>
              <w:noProof/>
              <w:kern w:val="2"/>
              <w:sz w:val="24"/>
              <w:szCs w:val="24"/>
              <w:lang w:eastAsia="en-GB"/>
              <w14:ligatures w14:val="standardContextual"/>
            </w:rPr>
          </w:pPr>
          <w:hyperlink w:anchor="_Toc195186403" w:history="1">
            <w:r w:rsidR="00E542BE" w:rsidRPr="00E542BE">
              <w:rPr>
                <w:rStyle w:val="Hyperlink"/>
                <w:rFonts w:ascii="Gill Sans MT" w:hAnsi="Gill Sans MT"/>
                <w:noProof/>
              </w:rPr>
              <w:t>1.3. Uspostavljeni instrumenti za redovnu procjenu uticaja propisa na ravnopravnost spolova</w:t>
            </w:r>
            <w:r w:rsidR="00E542BE" w:rsidRPr="00E542BE">
              <w:rPr>
                <w:rFonts w:ascii="Gill Sans MT" w:hAnsi="Gill Sans MT"/>
                <w:noProof/>
                <w:webHidden/>
              </w:rPr>
              <w:tab/>
            </w:r>
            <w:r w:rsidR="00E542BE" w:rsidRPr="00E542BE">
              <w:rPr>
                <w:rFonts w:ascii="Gill Sans MT" w:hAnsi="Gill Sans MT"/>
                <w:noProof/>
                <w:webHidden/>
              </w:rPr>
              <w:fldChar w:fldCharType="begin"/>
            </w:r>
            <w:r w:rsidR="00E542BE" w:rsidRPr="00E542BE">
              <w:rPr>
                <w:rFonts w:ascii="Gill Sans MT" w:hAnsi="Gill Sans MT"/>
                <w:noProof/>
                <w:webHidden/>
              </w:rPr>
              <w:instrText xml:space="preserve"> PAGEREF _Toc195186403 \h </w:instrText>
            </w:r>
            <w:r w:rsidR="00E542BE" w:rsidRPr="00E542BE">
              <w:rPr>
                <w:rFonts w:ascii="Gill Sans MT" w:hAnsi="Gill Sans MT"/>
                <w:noProof/>
                <w:webHidden/>
              </w:rPr>
            </w:r>
            <w:r w:rsidR="00E542BE" w:rsidRPr="00E542BE">
              <w:rPr>
                <w:rFonts w:ascii="Gill Sans MT" w:hAnsi="Gill Sans MT"/>
                <w:noProof/>
                <w:webHidden/>
              </w:rPr>
              <w:fldChar w:fldCharType="separate"/>
            </w:r>
            <w:r w:rsidR="00E0089A">
              <w:rPr>
                <w:rFonts w:ascii="Gill Sans MT" w:hAnsi="Gill Sans MT"/>
                <w:noProof/>
                <w:webHidden/>
              </w:rPr>
              <w:t>7</w:t>
            </w:r>
            <w:r w:rsidR="00E542BE" w:rsidRPr="00E542BE">
              <w:rPr>
                <w:rFonts w:ascii="Gill Sans MT" w:hAnsi="Gill Sans MT"/>
                <w:noProof/>
                <w:webHidden/>
              </w:rPr>
              <w:fldChar w:fldCharType="end"/>
            </w:r>
          </w:hyperlink>
        </w:p>
        <w:p w:rsidR="00E542BE" w:rsidRPr="00E542BE" w:rsidRDefault="00CC26AD">
          <w:pPr>
            <w:pStyle w:val="TOC2"/>
            <w:tabs>
              <w:tab w:val="right" w:leader="dot" w:pos="9016"/>
            </w:tabs>
            <w:rPr>
              <w:rFonts w:ascii="Gill Sans MT" w:eastAsiaTheme="minorEastAsia" w:hAnsi="Gill Sans MT" w:cstheme="minorBidi"/>
              <w:noProof/>
              <w:kern w:val="2"/>
              <w:sz w:val="24"/>
              <w:szCs w:val="24"/>
              <w:lang w:eastAsia="en-GB"/>
              <w14:ligatures w14:val="standardContextual"/>
            </w:rPr>
          </w:pPr>
          <w:hyperlink w:anchor="_Toc195186404" w:history="1">
            <w:r w:rsidR="00E542BE" w:rsidRPr="00E542BE">
              <w:rPr>
                <w:rStyle w:val="Hyperlink"/>
                <w:rFonts w:ascii="Gill Sans MT" w:hAnsi="Gill Sans MT"/>
                <w:noProof/>
              </w:rPr>
              <w:t>1.4. Provedene sektorske analize mogućnosti za unapređenje stanja ravnopravnosti spolova u prioritetnim oblastima</w:t>
            </w:r>
            <w:r w:rsidR="00E542BE" w:rsidRPr="00E542BE">
              <w:rPr>
                <w:rFonts w:ascii="Gill Sans MT" w:hAnsi="Gill Sans MT"/>
                <w:noProof/>
                <w:webHidden/>
              </w:rPr>
              <w:tab/>
            </w:r>
            <w:r w:rsidR="00E542BE" w:rsidRPr="00E542BE">
              <w:rPr>
                <w:rFonts w:ascii="Gill Sans MT" w:hAnsi="Gill Sans MT"/>
                <w:noProof/>
                <w:webHidden/>
              </w:rPr>
              <w:fldChar w:fldCharType="begin"/>
            </w:r>
            <w:r w:rsidR="00E542BE" w:rsidRPr="00E542BE">
              <w:rPr>
                <w:rFonts w:ascii="Gill Sans MT" w:hAnsi="Gill Sans MT"/>
                <w:noProof/>
                <w:webHidden/>
              </w:rPr>
              <w:instrText xml:space="preserve"> PAGEREF _Toc195186404 \h </w:instrText>
            </w:r>
            <w:r w:rsidR="00E542BE" w:rsidRPr="00E542BE">
              <w:rPr>
                <w:rFonts w:ascii="Gill Sans MT" w:hAnsi="Gill Sans MT"/>
                <w:noProof/>
                <w:webHidden/>
              </w:rPr>
            </w:r>
            <w:r w:rsidR="00E542BE" w:rsidRPr="00E542BE">
              <w:rPr>
                <w:rFonts w:ascii="Gill Sans MT" w:hAnsi="Gill Sans MT"/>
                <w:noProof/>
                <w:webHidden/>
              </w:rPr>
              <w:fldChar w:fldCharType="separate"/>
            </w:r>
            <w:r w:rsidR="00E0089A">
              <w:rPr>
                <w:rFonts w:ascii="Gill Sans MT" w:hAnsi="Gill Sans MT"/>
                <w:noProof/>
                <w:webHidden/>
              </w:rPr>
              <w:t>7</w:t>
            </w:r>
            <w:r w:rsidR="00E542BE" w:rsidRPr="00E542BE">
              <w:rPr>
                <w:rFonts w:ascii="Gill Sans MT" w:hAnsi="Gill Sans MT"/>
                <w:noProof/>
                <w:webHidden/>
              </w:rPr>
              <w:fldChar w:fldCharType="end"/>
            </w:r>
          </w:hyperlink>
        </w:p>
        <w:p w:rsidR="00E542BE" w:rsidRPr="00E542BE" w:rsidRDefault="00CC26AD">
          <w:pPr>
            <w:pStyle w:val="TOC2"/>
            <w:tabs>
              <w:tab w:val="right" w:leader="dot" w:pos="9016"/>
            </w:tabs>
            <w:rPr>
              <w:rFonts w:ascii="Gill Sans MT" w:eastAsiaTheme="minorEastAsia" w:hAnsi="Gill Sans MT" w:cstheme="minorBidi"/>
              <w:noProof/>
              <w:kern w:val="2"/>
              <w:sz w:val="24"/>
              <w:szCs w:val="24"/>
              <w:lang w:eastAsia="en-GB"/>
              <w14:ligatures w14:val="standardContextual"/>
            </w:rPr>
          </w:pPr>
          <w:hyperlink w:anchor="_Toc195186405" w:history="1">
            <w:r w:rsidR="00E542BE" w:rsidRPr="00E542BE">
              <w:rPr>
                <w:rStyle w:val="Hyperlink"/>
                <w:rFonts w:ascii="Gill Sans MT" w:hAnsi="Gill Sans MT"/>
                <w:noProof/>
              </w:rPr>
              <w:t>1.5. Budžet sadrži procjenu uticaja na ravnopravnost spolova (rodno-odgovorno budžetiranje)</w:t>
            </w:r>
            <w:r w:rsidR="00E542BE" w:rsidRPr="00E542BE">
              <w:rPr>
                <w:rFonts w:ascii="Gill Sans MT" w:hAnsi="Gill Sans MT"/>
                <w:noProof/>
                <w:webHidden/>
              </w:rPr>
              <w:tab/>
            </w:r>
            <w:r w:rsidR="00E542BE" w:rsidRPr="00E542BE">
              <w:rPr>
                <w:rFonts w:ascii="Gill Sans MT" w:hAnsi="Gill Sans MT"/>
                <w:noProof/>
                <w:webHidden/>
              </w:rPr>
              <w:fldChar w:fldCharType="begin"/>
            </w:r>
            <w:r w:rsidR="00E542BE" w:rsidRPr="00E542BE">
              <w:rPr>
                <w:rFonts w:ascii="Gill Sans MT" w:hAnsi="Gill Sans MT"/>
                <w:noProof/>
                <w:webHidden/>
              </w:rPr>
              <w:instrText xml:space="preserve"> PAGEREF _Toc195186405 \h </w:instrText>
            </w:r>
            <w:r w:rsidR="00E542BE" w:rsidRPr="00E542BE">
              <w:rPr>
                <w:rFonts w:ascii="Gill Sans MT" w:hAnsi="Gill Sans MT"/>
                <w:noProof/>
                <w:webHidden/>
              </w:rPr>
            </w:r>
            <w:r w:rsidR="00E542BE" w:rsidRPr="00E542BE">
              <w:rPr>
                <w:rFonts w:ascii="Gill Sans MT" w:hAnsi="Gill Sans MT"/>
                <w:noProof/>
                <w:webHidden/>
              </w:rPr>
              <w:fldChar w:fldCharType="separate"/>
            </w:r>
            <w:r w:rsidR="00E0089A">
              <w:rPr>
                <w:rFonts w:ascii="Gill Sans MT" w:hAnsi="Gill Sans MT"/>
                <w:noProof/>
                <w:webHidden/>
              </w:rPr>
              <w:t>7</w:t>
            </w:r>
            <w:r w:rsidR="00E542BE" w:rsidRPr="00E542BE">
              <w:rPr>
                <w:rFonts w:ascii="Gill Sans MT" w:hAnsi="Gill Sans MT"/>
                <w:noProof/>
                <w:webHidden/>
              </w:rPr>
              <w:fldChar w:fldCharType="end"/>
            </w:r>
          </w:hyperlink>
        </w:p>
        <w:p w:rsidR="00E542BE" w:rsidRPr="00E542BE" w:rsidRDefault="00CC26AD">
          <w:pPr>
            <w:pStyle w:val="TOC1"/>
            <w:tabs>
              <w:tab w:val="right" w:leader="dot" w:pos="9016"/>
            </w:tabs>
            <w:rPr>
              <w:rFonts w:ascii="Gill Sans MT" w:eastAsiaTheme="minorEastAsia" w:hAnsi="Gill Sans MT" w:cstheme="minorBidi"/>
              <w:b/>
              <w:bCs/>
              <w:noProof/>
              <w:kern w:val="2"/>
              <w:sz w:val="24"/>
              <w:szCs w:val="24"/>
              <w:lang w:eastAsia="en-GB"/>
              <w14:ligatures w14:val="standardContextual"/>
            </w:rPr>
          </w:pPr>
          <w:hyperlink w:anchor="_Toc195186406" w:history="1">
            <w:r w:rsidR="00E542BE" w:rsidRPr="00E542BE">
              <w:rPr>
                <w:rStyle w:val="Hyperlink"/>
                <w:rFonts w:ascii="Gill Sans MT" w:hAnsi="Gill Sans MT"/>
                <w:b/>
                <w:bCs/>
                <w:noProof/>
                <w:lang w:val="bs-Latn-BA"/>
              </w:rPr>
              <w:t>2 SREDNJEROČNI CILJ 2- UNAPREĐENO JE STANJE RAVNOPRAVNOSTI SPOLOVA NA PODRUČJU TK</w:t>
            </w:r>
            <w:r w:rsidR="00E542BE" w:rsidRPr="00E542BE">
              <w:rPr>
                <w:rFonts w:ascii="Gill Sans MT" w:hAnsi="Gill Sans MT"/>
                <w:b/>
                <w:bCs/>
                <w:noProof/>
                <w:webHidden/>
              </w:rPr>
              <w:tab/>
            </w:r>
            <w:r w:rsidR="00E542BE" w:rsidRPr="00E542BE">
              <w:rPr>
                <w:rFonts w:ascii="Gill Sans MT" w:hAnsi="Gill Sans MT"/>
                <w:b/>
                <w:bCs/>
                <w:noProof/>
                <w:webHidden/>
              </w:rPr>
              <w:fldChar w:fldCharType="begin"/>
            </w:r>
            <w:r w:rsidR="00E542BE" w:rsidRPr="00E542BE">
              <w:rPr>
                <w:rFonts w:ascii="Gill Sans MT" w:hAnsi="Gill Sans MT"/>
                <w:b/>
                <w:bCs/>
                <w:noProof/>
                <w:webHidden/>
              </w:rPr>
              <w:instrText xml:space="preserve"> PAGEREF _Toc195186406 \h </w:instrText>
            </w:r>
            <w:r w:rsidR="00E542BE" w:rsidRPr="00E542BE">
              <w:rPr>
                <w:rFonts w:ascii="Gill Sans MT" w:hAnsi="Gill Sans MT"/>
                <w:b/>
                <w:bCs/>
                <w:noProof/>
                <w:webHidden/>
              </w:rPr>
            </w:r>
            <w:r w:rsidR="00E542BE" w:rsidRPr="00E542BE">
              <w:rPr>
                <w:rFonts w:ascii="Gill Sans MT" w:hAnsi="Gill Sans MT"/>
                <w:b/>
                <w:bCs/>
                <w:noProof/>
                <w:webHidden/>
              </w:rPr>
              <w:fldChar w:fldCharType="separate"/>
            </w:r>
            <w:r w:rsidR="00E0089A">
              <w:rPr>
                <w:rFonts w:ascii="Gill Sans MT" w:hAnsi="Gill Sans MT"/>
                <w:b/>
                <w:bCs/>
                <w:noProof/>
                <w:webHidden/>
              </w:rPr>
              <w:t>11</w:t>
            </w:r>
            <w:r w:rsidR="00E542BE" w:rsidRPr="00E542BE">
              <w:rPr>
                <w:rFonts w:ascii="Gill Sans MT" w:hAnsi="Gill Sans MT"/>
                <w:b/>
                <w:bCs/>
                <w:noProof/>
                <w:webHidden/>
              </w:rPr>
              <w:fldChar w:fldCharType="end"/>
            </w:r>
          </w:hyperlink>
        </w:p>
        <w:p w:rsidR="00E542BE" w:rsidRPr="00E542BE" w:rsidRDefault="00CC26AD">
          <w:pPr>
            <w:pStyle w:val="TOC2"/>
            <w:tabs>
              <w:tab w:val="right" w:leader="dot" w:pos="9016"/>
            </w:tabs>
            <w:rPr>
              <w:rFonts w:ascii="Gill Sans MT" w:eastAsiaTheme="minorEastAsia" w:hAnsi="Gill Sans MT" w:cstheme="minorBidi"/>
              <w:noProof/>
              <w:kern w:val="2"/>
              <w:sz w:val="24"/>
              <w:szCs w:val="24"/>
              <w:lang w:eastAsia="en-GB"/>
              <w14:ligatures w14:val="standardContextual"/>
            </w:rPr>
          </w:pPr>
          <w:hyperlink w:anchor="_Toc195186407" w:history="1">
            <w:r w:rsidR="00E542BE" w:rsidRPr="00E542BE">
              <w:rPr>
                <w:rStyle w:val="Hyperlink"/>
                <w:rFonts w:ascii="Gill Sans MT" w:hAnsi="Gill Sans MT"/>
                <w:noProof/>
              </w:rPr>
              <w:t>2.1. Obrazovni sektor doprinosi ravnopravnosti spolova</w:t>
            </w:r>
            <w:r w:rsidR="00E542BE" w:rsidRPr="00E542BE">
              <w:rPr>
                <w:rFonts w:ascii="Gill Sans MT" w:hAnsi="Gill Sans MT"/>
                <w:noProof/>
                <w:webHidden/>
              </w:rPr>
              <w:tab/>
            </w:r>
            <w:r w:rsidR="00E542BE" w:rsidRPr="00E542BE">
              <w:rPr>
                <w:rFonts w:ascii="Gill Sans MT" w:hAnsi="Gill Sans MT"/>
                <w:noProof/>
                <w:webHidden/>
              </w:rPr>
              <w:fldChar w:fldCharType="begin"/>
            </w:r>
            <w:r w:rsidR="00E542BE" w:rsidRPr="00E542BE">
              <w:rPr>
                <w:rFonts w:ascii="Gill Sans MT" w:hAnsi="Gill Sans MT"/>
                <w:noProof/>
                <w:webHidden/>
              </w:rPr>
              <w:instrText xml:space="preserve"> PAGEREF _Toc195186407 \h </w:instrText>
            </w:r>
            <w:r w:rsidR="00E542BE" w:rsidRPr="00E542BE">
              <w:rPr>
                <w:rFonts w:ascii="Gill Sans MT" w:hAnsi="Gill Sans MT"/>
                <w:noProof/>
                <w:webHidden/>
              </w:rPr>
            </w:r>
            <w:r w:rsidR="00E542BE" w:rsidRPr="00E542BE">
              <w:rPr>
                <w:rFonts w:ascii="Gill Sans MT" w:hAnsi="Gill Sans MT"/>
                <w:noProof/>
                <w:webHidden/>
              </w:rPr>
              <w:fldChar w:fldCharType="separate"/>
            </w:r>
            <w:r w:rsidR="00E0089A">
              <w:rPr>
                <w:rFonts w:ascii="Gill Sans MT" w:hAnsi="Gill Sans MT"/>
                <w:noProof/>
                <w:webHidden/>
              </w:rPr>
              <w:t>11</w:t>
            </w:r>
            <w:r w:rsidR="00E542BE" w:rsidRPr="00E542BE">
              <w:rPr>
                <w:rFonts w:ascii="Gill Sans MT" w:hAnsi="Gill Sans MT"/>
                <w:noProof/>
                <w:webHidden/>
              </w:rPr>
              <w:fldChar w:fldCharType="end"/>
            </w:r>
          </w:hyperlink>
        </w:p>
        <w:p w:rsidR="00E542BE" w:rsidRPr="00E542BE" w:rsidRDefault="00CC26AD">
          <w:pPr>
            <w:pStyle w:val="TOC2"/>
            <w:tabs>
              <w:tab w:val="right" w:leader="dot" w:pos="9016"/>
            </w:tabs>
            <w:rPr>
              <w:rFonts w:ascii="Gill Sans MT" w:eastAsiaTheme="minorEastAsia" w:hAnsi="Gill Sans MT" w:cstheme="minorBidi"/>
              <w:noProof/>
              <w:kern w:val="2"/>
              <w:sz w:val="24"/>
              <w:szCs w:val="24"/>
              <w:lang w:eastAsia="en-GB"/>
              <w14:ligatures w14:val="standardContextual"/>
            </w:rPr>
          </w:pPr>
          <w:hyperlink w:anchor="_Toc195186408" w:history="1">
            <w:r w:rsidR="00E542BE" w:rsidRPr="00E542BE">
              <w:rPr>
                <w:rStyle w:val="Hyperlink"/>
                <w:rFonts w:ascii="Gill Sans MT" w:hAnsi="Gill Sans MT"/>
                <w:noProof/>
              </w:rPr>
              <w:t>2.2. Smanjen jaz između žena i muškaraca na tržištu rada</w:t>
            </w:r>
            <w:r w:rsidR="00E542BE" w:rsidRPr="00E542BE">
              <w:rPr>
                <w:rFonts w:ascii="Gill Sans MT" w:hAnsi="Gill Sans MT"/>
                <w:noProof/>
                <w:webHidden/>
              </w:rPr>
              <w:tab/>
            </w:r>
            <w:r w:rsidR="00E542BE" w:rsidRPr="00E542BE">
              <w:rPr>
                <w:rFonts w:ascii="Gill Sans MT" w:hAnsi="Gill Sans MT"/>
                <w:noProof/>
                <w:webHidden/>
              </w:rPr>
              <w:fldChar w:fldCharType="begin"/>
            </w:r>
            <w:r w:rsidR="00E542BE" w:rsidRPr="00E542BE">
              <w:rPr>
                <w:rFonts w:ascii="Gill Sans MT" w:hAnsi="Gill Sans MT"/>
                <w:noProof/>
                <w:webHidden/>
              </w:rPr>
              <w:instrText xml:space="preserve"> PAGEREF _Toc195186408 \h </w:instrText>
            </w:r>
            <w:r w:rsidR="00E542BE" w:rsidRPr="00E542BE">
              <w:rPr>
                <w:rFonts w:ascii="Gill Sans MT" w:hAnsi="Gill Sans MT"/>
                <w:noProof/>
                <w:webHidden/>
              </w:rPr>
            </w:r>
            <w:r w:rsidR="00E542BE" w:rsidRPr="00E542BE">
              <w:rPr>
                <w:rFonts w:ascii="Gill Sans MT" w:hAnsi="Gill Sans MT"/>
                <w:noProof/>
                <w:webHidden/>
              </w:rPr>
              <w:fldChar w:fldCharType="separate"/>
            </w:r>
            <w:r w:rsidR="00E0089A">
              <w:rPr>
                <w:rFonts w:ascii="Gill Sans MT" w:hAnsi="Gill Sans MT"/>
                <w:noProof/>
                <w:webHidden/>
              </w:rPr>
              <w:t>12</w:t>
            </w:r>
            <w:r w:rsidR="00E542BE" w:rsidRPr="00E542BE">
              <w:rPr>
                <w:rFonts w:ascii="Gill Sans MT" w:hAnsi="Gill Sans MT"/>
                <w:noProof/>
                <w:webHidden/>
              </w:rPr>
              <w:fldChar w:fldCharType="end"/>
            </w:r>
          </w:hyperlink>
        </w:p>
        <w:p w:rsidR="00E542BE" w:rsidRPr="00E542BE" w:rsidRDefault="00CC26AD">
          <w:pPr>
            <w:pStyle w:val="TOC2"/>
            <w:tabs>
              <w:tab w:val="right" w:leader="dot" w:pos="9016"/>
            </w:tabs>
            <w:rPr>
              <w:rFonts w:ascii="Gill Sans MT" w:eastAsiaTheme="minorEastAsia" w:hAnsi="Gill Sans MT" w:cstheme="minorBidi"/>
              <w:noProof/>
              <w:kern w:val="2"/>
              <w:sz w:val="24"/>
              <w:szCs w:val="24"/>
              <w:lang w:eastAsia="en-GB"/>
              <w14:ligatures w14:val="standardContextual"/>
            </w:rPr>
          </w:pPr>
          <w:hyperlink w:anchor="_Toc195186409" w:history="1">
            <w:r w:rsidR="00E542BE" w:rsidRPr="00E542BE">
              <w:rPr>
                <w:rStyle w:val="Hyperlink"/>
                <w:rFonts w:ascii="Gill Sans MT" w:hAnsi="Gill Sans MT"/>
                <w:noProof/>
              </w:rPr>
              <w:t>2.3. Prevencija i zaštita od nasilja u porodici i nasilja na osnovu spola</w:t>
            </w:r>
            <w:r w:rsidR="00E542BE" w:rsidRPr="00E542BE">
              <w:rPr>
                <w:rFonts w:ascii="Gill Sans MT" w:hAnsi="Gill Sans MT"/>
                <w:noProof/>
                <w:webHidden/>
              </w:rPr>
              <w:tab/>
            </w:r>
            <w:r w:rsidR="00E542BE" w:rsidRPr="00E542BE">
              <w:rPr>
                <w:rFonts w:ascii="Gill Sans MT" w:hAnsi="Gill Sans MT"/>
                <w:noProof/>
                <w:webHidden/>
              </w:rPr>
              <w:fldChar w:fldCharType="begin"/>
            </w:r>
            <w:r w:rsidR="00E542BE" w:rsidRPr="00E542BE">
              <w:rPr>
                <w:rFonts w:ascii="Gill Sans MT" w:hAnsi="Gill Sans MT"/>
                <w:noProof/>
                <w:webHidden/>
              </w:rPr>
              <w:instrText xml:space="preserve"> PAGEREF _Toc195186409 \h </w:instrText>
            </w:r>
            <w:r w:rsidR="00E542BE" w:rsidRPr="00E542BE">
              <w:rPr>
                <w:rFonts w:ascii="Gill Sans MT" w:hAnsi="Gill Sans MT"/>
                <w:noProof/>
                <w:webHidden/>
              </w:rPr>
            </w:r>
            <w:r w:rsidR="00E542BE" w:rsidRPr="00E542BE">
              <w:rPr>
                <w:rFonts w:ascii="Gill Sans MT" w:hAnsi="Gill Sans MT"/>
                <w:noProof/>
                <w:webHidden/>
              </w:rPr>
              <w:fldChar w:fldCharType="separate"/>
            </w:r>
            <w:r w:rsidR="00E0089A">
              <w:rPr>
                <w:rFonts w:ascii="Gill Sans MT" w:hAnsi="Gill Sans MT"/>
                <w:noProof/>
                <w:webHidden/>
              </w:rPr>
              <w:t>15</w:t>
            </w:r>
            <w:r w:rsidR="00E542BE" w:rsidRPr="00E542BE">
              <w:rPr>
                <w:rFonts w:ascii="Gill Sans MT" w:hAnsi="Gill Sans MT"/>
                <w:noProof/>
                <w:webHidden/>
              </w:rPr>
              <w:fldChar w:fldCharType="end"/>
            </w:r>
          </w:hyperlink>
        </w:p>
        <w:p w:rsidR="00E542BE" w:rsidRPr="00E542BE" w:rsidRDefault="00CC26AD">
          <w:pPr>
            <w:pStyle w:val="TOC2"/>
            <w:tabs>
              <w:tab w:val="right" w:leader="dot" w:pos="9016"/>
            </w:tabs>
            <w:rPr>
              <w:rFonts w:ascii="Gill Sans MT" w:eastAsiaTheme="minorEastAsia" w:hAnsi="Gill Sans MT" w:cstheme="minorBidi"/>
              <w:noProof/>
              <w:kern w:val="2"/>
              <w:sz w:val="24"/>
              <w:szCs w:val="24"/>
              <w:lang w:eastAsia="en-GB"/>
              <w14:ligatures w14:val="standardContextual"/>
            </w:rPr>
          </w:pPr>
          <w:hyperlink w:anchor="_Toc195186410" w:history="1">
            <w:r w:rsidR="00E542BE" w:rsidRPr="00E542BE">
              <w:rPr>
                <w:rStyle w:val="Hyperlink"/>
                <w:rFonts w:ascii="Gill Sans MT" w:hAnsi="Gill Sans MT"/>
                <w:noProof/>
              </w:rPr>
              <w:t>2.4. Osigurana ravnopravna zastupljenost osoba muškog i ženskog spola u tijelima nad kojima Kanton vrši nadzor</w:t>
            </w:r>
            <w:r w:rsidR="00E542BE" w:rsidRPr="00E542BE">
              <w:rPr>
                <w:rFonts w:ascii="Gill Sans MT" w:hAnsi="Gill Sans MT"/>
                <w:noProof/>
                <w:webHidden/>
              </w:rPr>
              <w:tab/>
            </w:r>
            <w:r w:rsidR="00E542BE" w:rsidRPr="00E542BE">
              <w:rPr>
                <w:rFonts w:ascii="Gill Sans MT" w:hAnsi="Gill Sans MT"/>
                <w:noProof/>
                <w:webHidden/>
              </w:rPr>
              <w:fldChar w:fldCharType="begin"/>
            </w:r>
            <w:r w:rsidR="00E542BE" w:rsidRPr="00E542BE">
              <w:rPr>
                <w:rFonts w:ascii="Gill Sans MT" w:hAnsi="Gill Sans MT"/>
                <w:noProof/>
                <w:webHidden/>
              </w:rPr>
              <w:instrText xml:space="preserve"> PAGEREF _Toc195186410 \h </w:instrText>
            </w:r>
            <w:r w:rsidR="00E542BE" w:rsidRPr="00E542BE">
              <w:rPr>
                <w:rFonts w:ascii="Gill Sans MT" w:hAnsi="Gill Sans MT"/>
                <w:noProof/>
                <w:webHidden/>
              </w:rPr>
            </w:r>
            <w:r w:rsidR="00E542BE" w:rsidRPr="00E542BE">
              <w:rPr>
                <w:rFonts w:ascii="Gill Sans MT" w:hAnsi="Gill Sans MT"/>
                <w:noProof/>
                <w:webHidden/>
              </w:rPr>
              <w:fldChar w:fldCharType="separate"/>
            </w:r>
            <w:r w:rsidR="00E0089A">
              <w:rPr>
                <w:rFonts w:ascii="Gill Sans MT" w:hAnsi="Gill Sans MT"/>
                <w:noProof/>
                <w:webHidden/>
              </w:rPr>
              <w:t>19</w:t>
            </w:r>
            <w:r w:rsidR="00E542BE" w:rsidRPr="00E542BE">
              <w:rPr>
                <w:rFonts w:ascii="Gill Sans MT" w:hAnsi="Gill Sans MT"/>
                <w:noProof/>
                <w:webHidden/>
              </w:rPr>
              <w:fldChar w:fldCharType="end"/>
            </w:r>
          </w:hyperlink>
        </w:p>
        <w:p w:rsidR="00E542BE" w:rsidRPr="00E542BE" w:rsidRDefault="00CC26AD">
          <w:pPr>
            <w:pStyle w:val="TOC2"/>
            <w:tabs>
              <w:tab w:val="right" w:leader="dot" w:pos="9016"/>
            </w:tabs>
            <w:rPr>
              <w:rFonts w:ascii="Gill Sans MT" w:eastAsiaTheme="minorEastAsia" w:hAnsi="Gill Sans MT" w:cstheme="minorBidi"/>
              <w:noProof/>
              <w:kern w:val="2"/>
              <w:sz w:val="24"/>
              <w:szCs w:val="24"/>
              <w:lang w:eastAsia="en-GB"/>
              <w14:ligatures w14:val="standardContextual"/>
            </w:rPr>
          </w:pPr>
          <w:hyperlink w:anchor="_Toc195186411" w:history="1">
            <w:r w:rsidR="00E542BE" w:rsidRPr="00E542BE">
              <w:rPr>
                <w:rStyle w:val="Hyperlink"/>
                <w:rFonts w:ascii="Gill Sans MT" w:hAnsi="Gill Sans MT"/>
                <w:noProof/>
              </w:rPr>
              <w:t>2.5. Unaprijeđeno zdravlje i seksualno i reproduktivno zdravlje</w:t>
            </w:r>
            <w:r w:rsidR="00E542BE" w:rsidRPr="00E542BE">
              <w:rPr>
                <w:rFonts w:ascii="Gill Sans MT" w:hAnsi="Gill Sans MT"/>
                <w:noProof/>
                <w:webHidden/>
              </w:rPr>
              <w:tab/>
            </w:r>
            <w:r w:rsidR="00E542BE" w:rsidRPr="00E542BE">
              <w:rPr>
                <w:rFonts w:ascii="Gill Sans MT" w:hAnsi="Gill Sans MT"/>
                <w:noProof/>
                <w:webHidden/>
              </w:rPr>
              <w:fldChar w:fldCharType="begin"/>
            </w:r>
            <w:r w:rsidR="00E542BE" w:rsidRPr="00E542BE">
              <w:rPr>
                <w:rFonts w:ascii="Gill Sans MT" w:hAnsi="Gill Sans MT"/>
                <w:noProof/>
                <w:webHidden/>
              </w:rPr>
              <w:instrText xml:space="preserve"> PAGEREF _Toc195186411 \h </w:instrText>
            </w:r>
            <w:r w:rsidR="00E542BE" w:rsidRPr="00E542BE">
              <w:rPr>
                <w:rFonts w:ascii="Gill Sans MT" w:hAnsi="Gill Sans MT"/>
                <w:noProof/>
                <w:webHidden/>
              </w:rPr>
            </w:r>
            <w:r w:rsidR="00E542BE" w:rsidRPr="00E542BE">
              <w:rPr>
                <w:rFonts w:ascii="Gill Sans MT" w:hAnsi="Gill Sans MT"/>
                <w:noProof/>
                <w:webHidden/>
              </w:rPr>
              <w:fldChar w:fldCharType="separate"/>
            </w:r>
            <w:r w:rsidR="00E0089A">
              <w:rPr>
                <w:rFonts w:ascii="Gill Sans MT" w:hAnsi="Gill Sans MT"/>
                <w:noProof/>
                <w:webHidden/>
              </w:rPr>
              <w:t>20</w:t>
            </w:r>
            <w:r w:rsidR="00E542BE" w:rsidRPr="00E542BE">
              <w:rPr>
                <w:rFonts w:ascii="Gill Sans MT" w:hAnsi="Gill Sans MT"/>
                <w:noProof/>
                <w:webHidden/>
              </w:rPr>
              <w:fldChar w:fldCharType="end"/>
            </w:r>
          </w:hyperlink>
        </w:p>
        <w:p w:rsidR="00E542BE" w:rsidRPr="00E542BE" w:rsidRDefault="00CC26AD">
          <w:pPr>
            <w:pStyle w:val="TOC1"/>
            <w:tabs>
              <w:tab w:val="right" w:leader="dot" w:pos="9016"/>
            </w:tabs>
            <w:rPr>
              <w:rFonts w:ascii="Gill Sans MT" w:eastAsiaTheme="minorEastAsia" w:hAnsi="Gill Sans MT" w:cstheme="minorBidi"/>
              <w:b/>
              <w:bCs/>
              <w:noProof/>
              <w:kern w:val="2"/>
              <w:sz w:val="24"/>
              <w:szCs w:val="24"/>
              <w:lang w:eastAsia="en-GB"/>
              <w14:ligatures w14:val="standardContextual"/>
            </w:rPr>
          </w:pPr>
          <w:hyperlink w:anchor="_Toc195186412" w:history="1">
            <w:r w:rsidR="00E542BE" w:rsidRPr="00E542BE">
              <w:rPr>
                <w:rStyle w:val="Hyperlink"/>
                <w:rFonts w:ascii="Gill Sans MT" w:hAnsi="Gill Sans MT"/>
                <w:b/>
                <w:bCs/>
                <w:noProof/>
                <w:lang w:val="bs-Latn-BA"/>
              </w:rPr>
              <w:t>3 SREDNJEROČNI CILJ 3. PRATI SE STANJE I SARAĐUJE SA DRUGIM AKTERIMA NA UNAPREĐENJU STANJA RAVNOPRAVNOSTI SPOLOVA</w:t>
            </w:r>
            <w:r w:rsidR="00E542BE" w:rsidRPr="00E542BE">
              <w:rPr>
                <w:rFonts w:ascii="Gill Sans MT" w:hAnsi="Gill Sans MT"/>
                <w:b/>
                <w:bCs/>
                <w:noProof/>
                <w:webHidden/>
              </w:rPr>
              <w:tab/>
            </w:r>
            <w:r w:rsidR="00E542BE" w:rsidRPr="00E542BE">
              <w:rPr>
                <w:rFonts w:ascii="Gill Sans MT" w:hAnsi="Gill Sans MT"/>
                <w:b/>
                <w:bCs/>
                <w:noProof/>
                <w:webHidden/>
              </w:rPr>
              <w:fldChar w:fldCharType="begin"/>
            </w:r>
            <w:r w:rsidR="00E542BE" w:rsidRPr="00E542BE">
              <w:rPr>
                <w:rFonts w:ascii="Gill Sans MT" w:hAnsi="Gill Sans MT"/>
                <w:b/>
                <w:bCs/>
                <w:noProof/>
                <w:webHidden/>
              </w:rPr>
              <w:instrText xml:space="preserve"> PAGEREF _Toc195186412 \h </w:instrText>
            </w:r>
            <w:r w:rsidR="00E542BE" w:rsidRPr="00E542BE">
              <w:rPr>
                <w:rFonts w:ascii="Gill Sans MT" w:hAnsi="Gill Sans MT"/>
                <w:b/>
                <w:bCs/>
                <w:noProof/>
                <w:webHidden/>
              </w:rPr>
            </w:r>
            <w:r w:rsidR="00E542BE" w:rsidRPr="00E542BE">
              <w:rPr>
                <w:rFonts w:ascii="Gill Sans MT" w:hAnsi="Gill Sans MT"/>
                <w:b/>
                <w:bCs/>
                <w:noProof/>
                <w:webHidden/>
              </w:rPr>
              <w:fldChar w:fldCharType="separate"/>
            </w:r>
            <w:r w:rsidR="00E0089A">
              <w:rPr>
                <w:rFonts w:ascii="Gill Sans MT" w:hAnsi="Gill Sans MT"/>
                <w:b/>
                <w:bCs/>
                <w:noProof/>
                <w:webHidden/>
              </w:rPr>
              <w:t>22</w:t>
            </w:r>
            <w:r w:rsidR="00E542BE" w:rsidRPr="00E542BE">
              <w:rPr>
                <w:rFonts w:ascii="Gill Sans MT" w:hAnsi="Gill Sans MT"/>
                <w:b/>
                <w:bCs/>
                <w:noProof/>
                <w:webHidden/>
              </w:rPr>
              <w:fldChar w:fldCharType="end"/>
            </w:r>
          </w:hyperlink>
        </w:p>
        <w:p w:rsidR="00E542BE" w:rsidRPr="00E542BE" w:rsidRDefault="00CC26AD">
          <w:pPr>
            <w:pStyle w:val="TOC2"/>
            <w:tabs>
              <w:tab w:val="right" w:leader="dot" w:pos="9016"/>
            </w:tabs>
            <w:rPr>
              <w:rFonts w:ascii="Gill Sans MT" w:eastAsiaTheme="minorEastAsia" w:hAnsi="Gill Sans MT" w:cstheme="minorBidi"/>
              <w:noProof/>
              <w:kern w:val="2"/>
              <w:sz w:val="24"/>
              <w:szCs w:val="24"/>
              <w:lang w:eastAsia="en-GB"/>
              <w14:ligatures w14:val="standardContextual"/>
            </w:rPr>
          </w:pPr>
          <w:hyperlink w:anchor="_Toc195186413" w:history="1">
            <w:r w:rsidR="00E542BE" w:rsidRPr="00E542BE">
              <w:rPr>
                <w:rStyle w:val="Hyperlink"/>
                <w:rFonts w:ascii="Gill Sans MT" w:hAnsi="Gill Sans MT"/>
                <w:noProof/>
              </w:rPr>
              <w:t>3.1. Kanton doprinosi promociji ravnopravnosti spolova</w:t>
            </w:r>
            <w:r w:rsidR="00E542BE" w:rsidRPr="00E542BE">
              <w:rPr>
                <w:rFonts w:ascii="Gill Sans MT" w:hAnsi="Gill Sans MT"/>
                <w:noProof/>
                <w:webHidden/>
              </w:rPr>
              <w:tab/>
            </w:r>
            <w:r w:rsidR="00E542BE" w:rsidRPr="00E542BE">
              <w:rPr>
                <w:rFonts w:ascii="Gill Sans MT" w:hAnsi="Gill Sans MT"/>
                <w:noProof/>
                <w:webHidden/>
              </w:rPr>
              <w:fldChar w:fldCharType="begin"/>
            </w:r>
            <w:r w:rsidR="00E542BE" w:rsidRPr="00E542BE">
              <w:rPr>
                <w:rFonts w:ascii="Gill Sans MT" w:hAnsi="Gill Sans MT"/>
                <w:noProof/>
                <w:webHidden/>
              </w:rPr>
              <w:instrText xml:space="preserve"> PAGEREF _Toc195186413 \h </w:instrText>
            </w:r>
            <w:r w:rsidR="00E542BE" w:rsidRPr="00E542BE">
              <w:rPr>
                <w:rFonts w:ascii="Gill Sans MT" w:hAnsi="Gill Sans MT"/>
                <w:noProof/>
                <w:webHidden/>
              </w:rPr>
            </w:r>
            <w:r w:rsidR="00E542BE" w:rsidRPr="00E542BE">
              <w:rPr>
                <w:rFonts w:ascii="Gill Sans MT" w:hAnsi="Gill Sans MT"/>
                <w:noProof/>
                <w:webHidden/>
              </w:rPr>
              <w:fldChar w:fldCharType="separate"/>
            </w:r>
            <w:r w:rsidR="00E0089A">
              <w:rPr>
                <w:rFonts w:ascii="Gill Sans MT" w:hAnsi="Gill Sans MT"/>
                <w:noProof/>
                <w:webHidden/>
              </w:rPr>
              <w:t>22</w:t>
            </w:r>
            <w:r w:rsidR="00E542BE" w:rsidRPr="00E542BE">
              <w:rPr>
                <w:rFonts w:ascii="Gill Sans MT" w:hAnsi="Gill Sans MT"/>
                <w:noProof/>
                <w:webHidden/>
              </w:rPr>
              <w:fldChar w:fldCharType="end"/>
            </w:r>
          </w:hyperlink>
        </w:p>
        <w:p w:rsidR="00E542BE" w:rsidRPr="00E542BE" w:rsidRDefault="00CC26AD">
          <w:pPr>
            <w:pStyle w:val="TOC2"/>
            <w:tabs>
              <w:tab w:val="right" w:leader="dot" w:pos="9016"/>
            </w:tabs>
            <w:rPr>
              <w:rFonts w:ascii="Gill Sans MT" w:eastAsiaTheme="minorEastAsia" w:hAnsi="Gill Sans MT" w:cstheme="minorBidi"/>
              <w:noProof/>
              <w:kern w:val="2"/>
              <w:sz w:val="24"/>
              <w:szCs w:val="24"/>
              <w:lang w:eastAsia="en-GB"/>
              <w14:ligatures w14:val="standardContextual"/>
            </w:rPr>
          </w:pPr>
          <w:hyperlink w:anchor="_Toc195186414" w:history="1">
            <w:r w:rsidR="00E542BE" w:rsidRPr="00E542BE">
              <w:rPr>
                <w:rStyle w:val="Hyperlink"/>
                <w:rFonts w:ascii="Gill Sans MT" w:hAnsi="Gill Sans MT"/>
                <w:noProof/>
              </w:rPr>
              <w:t>3.2. Civilno društvo učestvuje u definiranju prioriteta za djelovanje u oblasti ravnopravnosti spolova</w:t>
            </w:r>
            <w:r w:rsidR="00E542BE" w:rsidRPr="00E542BE">
              <w:rPr>
                <w:rFonts w:ascii="Gill Sans MT" w:hAnsi="Gill Sans MT"/>
                <w:noProof/>
                <w:webHidden/>
              </w:rPr>
              <w:tab/>
            </w:r>
            <w:r w:rsidR="00E542BE" w:rsidRPr="00E542BE">
              <w:rPr>
                <w:rFonts w:ascii="Gill Sans MT" w:hAnsi="Gill Sans MT"/>
                <w:noProof/>
                <w:webHidden/>
              </w:rPr>
              <w:fldChar w:fldCharType="begin"/>
            </w:r>
            <w:r w:rsidR="00E542BE" w:rsidRPr="00E542BE">
              <w:rPr>
                <w:rFonts w:ascii="Gill Sans MT" w:hAnsi="Gill Sans MT"/>
                <w:noProof/>
                <w:webHidden/>
              </w:rPr>
              <w:instrText xml:space="preserve"> PAGEREF _Toc195186414 \h </w:instrText>
            </w:r>
            <w:r w:rsidR="00E542BE" w:rsidRPr="00E542BE">
              <w:rPr>
                <w:rFonts w:ascii="Gill Sans MT" w:hAnsi="Gill Sans MT"/>
                <w:noProof/>
                <w:webHidden/>
              </w:rPr>
            </w:r>
            <w:r w:rsidR="00E542BE" w:rsidRPr="00E542BE">
              <w:rPr>
                <w:rFonts w:ascii="Gill Sans MT" w:hAnsi="Gill Sans MT"/>
                <w:noProof/>
                <w:webHidden/>
              </w:rPr>
              <w:fldChar w:fldCharType="separate"/>
            </w:r>
            <w:r w:rsidR="00E0089A">
              <w:rPr>
                <w:rFonts w:ascii="Gill Sans MT" w:hAnsi="Gill Sans MT"/>
                <w:noProof/>
                <w:webHidden/>
              </w:rPr>
              <w:t>22</w:t>
            </w:r>
            <w:r w:rsidR="00E542BE" w:rsidRPr="00E542BE">
              <w:rPr>
                <w:rFonts w:ascii="Gill Sans MT" w:hAnsi="Gill Sans MT"/>
                <w:noProof/>
                <w:webHidden/>
              </w:rPr>
              <w:fldChar w:fldCharType="end"/>
            </w:r>
          </w:hyperlink>
        </w:p>
        <w:p w:rsidR="00E542BE" w:rsidRPr="00E542BE" w:rsidRDefault="00E542BE">
          <w:pPr>
            <w:rPr>
              <w:rFonts w:ascii="Gill Sans MT" w:hAnsi="Gill Sans MT"/>
            </w:rPr>
          </w:pPr>
          <w:r w:rsidRPr="00E542BE">
            <w:rPr>
              <w:rFonts w:ascii="Gill Sans MT" w:hAnsi="Gill Sans MT"/>
              <w:b/>
              <w:bCs/>
              <w:noProof/>
            </w:rPr>
            <w:fldChar w:fldCharType="end"/>
          </w:r>
        </w:p>
      </w:sdtContent>
    </w:sdt>
    <w:p w:rsidR="00E542BE" w:rsidRPr="00033459" w:rsidRDefault="00E542BE" w:rsidP="00E542BE">
      <w:pPr>
        <w:pStyle w:val="Heading1"/>
      </w:pPr>
    </w:p>
    <w:p w:rsidR="00993B1F" w:rsidRPr="00033459" w:rsidRDefault="00942562" w:rsidP="002F596A">
      <w:pPr>
        <w:pStyle w:val="Heading1"/>
        <w:rPr>
          <w:lang w:val="bs-Latn-BA"/>
        </w:rPr>
      </w:pPr>
      <w:r w:rsidRPr="00033459">
        <w:rPr>
          <w:lang w:val="bs-Latn-BA"/>
        </w:rPr>
        <w:br w:type="page"/>
      </w:r>
      <w:bookmarkStart w:id="2" w:name="_Toc195186399"/>
      <w:r w:rsidRPr="00033459">
        <w:rPr>
          <w:lang w:val="bs-Latn-BA"/>
        </w:rPr>
        <w:lastRenderedPageBreak/>
        <w:t>UVOD</w:t>
      </w:r>
      <w:bookmarkEnd w:id="2"/>
    </w:p>
    <w:p w:rsidR="00993B1F" w:rsidRPr="00033459" w:rsidRDefault="00942562" w:rsidP="002F596A">
      <w:pPr>
        <w:jc w:val="both"/>
        <w:rPr>
          <w:rFonts w:ascii="Cambria" w:eastAsia="Times New Roman" w:hAnsi="Cambria" w:cs="Times New Roman"/>
          <w:lang w:val="bs-Latn-BA"/>
        </w:rPr>
      </w:pPr>
      <w:r w:rsidRPr="00033459">
        <w:rPr>
          <w:rFonts w:ascii="Cambria" w:eastAsia="Times New Roman" w:hAnsi="Cambria" w:cs="Times New Roman"/>
          <w:lang w:val="bs-Latn-BA"/>
        </w:rPr>
        <w:t xml:space="preserve">Vlada Tuzlanskog kantona usvojila Gender akcioni plan za period 2022-2024. godina, a isti je izrađen od strane Interresorne radne grupe imenovane od strane Vlade a uz stručnu i finansijsku podršku Gender Centra Federacije BiH. Ovaj dokument je usvojen Zaključkom Vlade Tuzlanskog kantona, broj: 02/1-04-26477/21 od 23.11.2021. godine. </w:t>
      </w:r>
    </w:p>
    <w:p w:rsidR="00993B1F" w:rsidRPr="00033459" w:rsidRDefault="00942562" w:rsidP="002F596A">
      <w:pPr>
        <w:jc w:val="both"/>
        <w:rPr>
          <w:rFonts w:ascii="Cambria" w:eastAsia="Times New Roman" w:hAnsi="Cambria" w:cs="Times New Roman"/>
          <w:lang w:val="bs-Latn-BA"/>
        </w:rPr>
      </w:pPr>
      <w:r w:rsidRPr="00033459">
        <w:rPr>
          <w:rFonts w:ascii="Cambria" w:eastAsia="Times New Roman" w:hAnsi="Cambria" w:cs="Times New Roman"/>
          <w:lang w:val="bs-Latn-BA"/>
        </w:rPr>
        <w:t>Gender akcioni i finansijski plan (GAP) Tuzlanskog kantona je strateško-planski dokument koji svojom implementacijom treba da potiče budući rast i razvoj zajednice, te unaprijedi ravnopravnost spolova u zajednici. Uvođenje principa ravnopravnosti spolova u razvojne politike, strategije, projekte i programe je od posebnog značaja na kantonalnom nivou, zbog nadležnosti koji kantonalni nivo vlasti ima.</w:t>
      </w:r>
    </w:p>
    <w:p w:rsidR="00993B1F" w:rsidRPr="00033459" w:rsidRDefault="00942562" w:rsidP="002F596A">
      <w:pPr>
        <w:spacing w:line="240" w:lineRule="auto"/>
        <w:jc w:val="both"/>
        <w:rPr>
          <w:rFonts w:ascii="Cambria" w:eastAsia="Times New Roman" w:hAnsi="Cambria" w:cs="Times New Roman"/>
          <w:lang w:val="bs-Latn-BA"/>
        </w:rPr>
      </w:pPr>
      <w:r w:rsidRPr="00033459">
        <w:rPr>
          <w:rFonts w:ascii="Cambria" w:eastAsia="Times New Roman" w:hAnsi="Cambria" w:cs="Times New Roman"/>
          <w:lang w:val="bs-Latn-BA"/>
        </w:rPr>
        <w:t xml:space="preserve">GAP TK osigurava provođenje ustavnih i zakonskih obaveza jer se njime osigurava koordinirano i usmjereno djelovanje svih tijela TK. Skupština TK je svojim Zaključkom broj: 01-02-137-22/21 od 25.02.2021. godine zadužila Vladu TK i Ministarstvo za rad, socijalnu politiku i povratak TK da pristupe izradi i donošenju Operativnog i finasijskog plana za provedbu Gender akcionog plana BiH u Tuzlanskom kantonu, a u skladu sa Gender akcionim planom Bosne i Hercegovine za period 2018. do 2022. godina. Vlada TK je donijela Odluku broj: 02/1-04-6818-2/21 od 11.05.2021. godine kojom je imenovana Interresorna radna grupa za izradu i donošenje Operativnog i finansijskog plana za provedbu Gender akcionog plana BiH u Tuzlanskom kantonu, a koju čine predstavnici kantonalnih ministarstava i nevladinih organizacija. Proces je koordinirao Gender centar Federacije Bosne i Hercegovine. </w:t>
      </w:r>
    </w:p>
    <w:p w:rsidR="00993B1F" w:rsidRPr="00033459" w:rsidRDefault="00942562" w:rsidP="002F596A">
      <w:pPr>
        <w:spacing w:line="240" w:lineRule="auto"/>
        <w:jc w:val="both"/>
        <w:rPr>
          <w:rFonts w:ascii="Cambria" w:eastAsia="Times New Roman" w:hAnsi="Cambria" w:cs="Times New Roman"/>
          <w:lang w:val="bs-Latn-BA"/>
        </w:rPr>
      </w:pPr>
      <w:r w:rsidRPr="00033459">
        <w:rPr>
          <w:rFonts w:ascii="Cambria" w:eastAsia="Times New Roman" w:hAnsi="Cambria" w:cs="Times New Roman"/>
          <w:lang w:val="bs-Latn-BA"/>
        </w:rPr>
        <w:t xml:space="preserve">Tokom sastanaka Grupe analizirano je stanje ravnopravnosti spolova u Tuzlanskom kantonu i utvrđene su oblasti neravnopravnosti spolova, identificirane su strukturalne prepreke za ravnopravnost spolova i prilike za unapređenje trenutnog stanja te je izrađen nacrt dokumenta. </w:t>
      </w:r>
    </w:p>
    <w:p w:rsidR="00993B1F" w:rsidRPr="00033459" w:rsidRDefault="00942562" w:rsidP="002F596A">
      <w:pPr>
        <w:spacing w:line="240" w:lineRule="auto"/>
        <w:jc w:val="both"/>
        <w:rPr>
          <w:rFonts w:ascii="Cambria" w:eastAsia="Times New Roman" w:hAnsi="Cambria" w:cs="Times New Roman"/>
          <w:lang w:val="bs-Latn-BA"/>
        </w:rPr>
      </w:pPr>
      <w:r w:rsidRPr="00033459">
        <w:rPr>
          <w:rFonts w:ascii="Cambria" w:eastAsia="Times New Roman" w:hAnsi="Cambria" w:cs="Times New Roman"/>
          <w:lang w:val="bs-Latn-BA"/>
        </w:rPr>
        <w:t>U skladu sa prethodnom analizom stanja ravnopravnosti u kantonu i pregleda provođenja obaveza iz Zakona o ravnopravnosti spolova u Bosni i Hercegovini jasno je da donošenje Gender akcionog plana TK predstavlja optimalan pristup za unapređenje stanja ravnopravnosti spolova.</w:t>
      </w:r>
    </w:p>
    <w:p w:rsidR="00993B1F" w:rsidRPr="00033459" w:rsidRDefault="00993B1F" w:rsidP="002F596A">
      <w:pPr>
        <w:spacing w:line="240" w:lineRule="auto"/>
        <w:jc w:val="both"/>
        <w:rPr>
          <w:rFonts w:ascii="Cambria" w:eastAsia="Times New Roman" w:hAnsi="Cambria" w:cs="Times New Roman"/>
          <w:lang w:val="bs-Latn-BA"/>
        </w:rPr>
      </w:pPr>
    </w:p>
    <w:p w:rsidR="00993B1F" w:rsidRPr="00033459" w:rsidRDefault="00942562" w:rsidP="002F596A">
      <w:pPr>
        <w:spacing w:line="240" w:lineRule="auto"/>
        <w:jc w:val="both"/>
        <w:rPr>
          <w:rFonts w:ascii="Cambria" w:eastAsia="Times New Roman" w:hAnsi="Cambria" w:cs="Times New Roman"/>
          <w:lang w:val="bs-Latn-BA"/>
        </w:rPr>
      </w:pPr>
      <w:r w:rsidRPr="00033459">
        <w:rPr>
          <w:rFonts w:ascii="Cambria" w:eastAsia="Times New Roman" w:hAnsi="Cambria" w:cs="Times New Roman"/>
          <w:lang w:val="bs-Latn-BA"/>
        </w:rPr>
        <w:t>U odnosu na te analize struktura Gender akcionog plana TK za period 2021 – 2024. godina odražava trenutno stanje ravnopravnosti spolova i institucionalizacije ravnopravnosti spolova i sadrži tri srednjeročna cilja te u okviru svakog cilja rezultate koji se planiraju postići i to:</w:t>
      </w:r>
    </w:p>
    <w:p w:rsidR="00993B1F" w:rsidRPr="00033459" w:rsidRDefault="00993B1F" w:rsidP="002F596A">
      <w:pPr>
        <w:jc w:val="both"/>
        <w:rPr>
          <w:rFonts w:ascii="Cambria" w:eastAsia="Times New Roman" w:hAnsi="Cambria" w:cs="Times New Roman"/>
          <w:lang w:val="bs-Latn-BA"/>
        </w:rPr>
      </w:pPr>
    </w:p>
    <w:p w:rsidR="00993B1F" w:rsidRPr="00033459" w:rsidRDefault="00942562" w:rsidP="002F596A">
      <w:pPr>
        <w:numPr>
          <w:ilvl w:val="0"/>
          <w:numId w:val="3"/>
        </w:numPr>
        <w:spacing w:after="0"/>
        <w:ind w:left="714" w:hanging="357"/>
        <w:jc w:val="both"/>
        <w:rPr>
          <w:rFonts w:ascii="Cambria" w:eastAsia="Times New Roman" w:hAnsi="Cambria" w:cs="Times New Roman"/>
          <w:lang w:val="bs-Latn-BA"/>
        </w:rPr>
      </w:pPr>
      <w:r w:rsidRPr="00033459">
        <w:rPr>
          <w:rFonts w:ascii="Cambria" w:eastAsia="Times New Roman" w:hAnsi="Cambria" w:cs="Times New Roman"/>
          <w:lang w:val="bs-Latn-BA"/>
        </w:rPr>
        <w:t>Srednjeročni cilj 1.Ministarstva i druga tijela vlade djeluju za ravnopravnost spolova</w:t>
      </w:r>
    </w:p>
    <w:p w:rsidR="00993B1F" w:rsidRPr="00033459" w:rsidRDefault="00942562" w:rsidP="002F596A">
      <w:pPr>
        <w:numPr>
          <w:ilvl w:val="0"/>
          <w:numId w:val="4"/>
        </w:numPr>
        <w:spacing w:after="0"/>
        <w:ind w:left="714" w:hanging="357"/>
        <w:jc w:val="both"/>
        <w:rPr>
          <w:rFonts w:ascii="Cambria" w:eastAsia="Times New Roman" w:hAnsi="Cambria" w:cs="Times New Roman"/>
          <w:lang w:val="bs-Latn-BA"/>
        </w:rPr>
      </w:pPr>
      <w:r w:rsidRPr="00033459">
        <w:rPr>
          <w:rFonts w:ascii="Cambria" w:eastAsia="Times New Roman" w:hAnsi="Cambria" w:cs="Times New Roman"/>
          <w:lang w:val="bs-Latn-BA"/>
        </w:rPr>
        <w:t>Srednjeročni cilj 2. Unaprijeđeno je stanje ravnopravnosti spolova na području TK</w:t>
      </w:r>
    </w:p>
    <w:p w:rsidR="00993B1F" w:rsidRPr="00033459" w:rsidRDefault="00942562" w:rsidP="002F596A">
      <w:pPr>
        <w:numPr>
          <w:ilvl w:val="0"/>
          <w:numId w:val="4"/>
        </w:numPr>
        <w:spacing w:after="0"/>
        <w:ind w:left="714" w:hanging="357"/>
        <w:jc w:val="both"/>
        <w:rPr>
          <w:rFonts w:ascii="Cambria" w:eastAsia="Times New Roman" w:hAnsi="Cambria" w:cs="Times New Roman"/>
          <w:lang w:val="bs-Latn-BA"/>
        </w:rPr>
      </w:pPr>
      <w:r w:rsidRPr="00033459">
        <w:rPr>
          <w:rFonts w:ascii="Cambria" w:eastAsia="Times New Roman" w:hAnsi="Cambria" w:cs="Times New Roman"/>
          <w:lang w:val="bs-Latn-BA"/>
        </w:rPr>
        <w:t xml:space="preserve">Srednjeročni cilj 3. Prati se stanje i sarađuje sa drugim akterima na unapređenju stanja ravnopravnosti spolova </w:t>
      </w:r>
    </w:p>
    <w:p w:rsidR="00993B1F" w:rsidRPr="00033459" w:rsidRDefault="00993B1F" w:rsidP="002F596A">
      <w:pPr>
        <w:jc w:val="both"/>
        <w:rPr>
          <w:rFonts w:ascii="Cambria" w:eastAsia="Times New Roman" w:hAnsi="Cambria" w:cs="Times New Roman"/>
          <w:lang w:val="bs-Latn-BA"/>
        </w:rPr>
      </w:pPr>
    </w:p>
    <w:p w:rsidR="00993B1F" w:rsidRPr="00033459" w:rsidRDefault="00942562" w:rsidP="002F596A">
      <w:pPr>
        <w:jc w:val="both"/>
        <w:rPr>
          <w:rFonts w:ascii="Cambria" w:eastAsia="Times New Roman" w:hAnsi="Cambria" w:cs="Times New Roman"/>
          <w:lang w:val="bs-Latn-BA"/>
        </w:rPr>
      </w:pPr>
      <w:r w:rsidRPr="00033459">
        <w:rPr>
          <w:rFonts w:ascii="Cambria" w:eastAsia="Times New Roman" w:hAnsi="Cambria" w:cs="Times New Roman"/>
          <w:lang w:val="bs-Latn-BA"/>
        </w:rPr>
        <w:t>Struktura Gender akcionog plana TK je prikazana shematski ispod dok je detaljno prikazana u matrici logičkog okvira u narednom dijelu dokumenta: Ciljevi i aktivnosti Gender akcionog plana TK.</w:t>
      </w:r>
    </w:p>
    <w:p w:rsidR="00993B1F" w:rsidRPr="00033459" w:rsidRDefault="00993B1F" w:rsidP="002F596A">
      <w:pPr>
        <w:spacing w:line="240" w:lineRule="auto"/>
        <w:jc w:val="both"/>
        <w:rPr>
          <w:rFonts w:ascii="Cambria" w:eastAsia="Times New Roman" w:hAnsi="Cambria" w:cs="Times New Roman"/>
          <w:lang w:val="bs-Latn-BA"/>
        </w:rPr>
      </w:pPr>
    </w:p>
    <w:p w:rsidR="00993B1F" w:rsidRPr="00033459" w:rsidRDefault="00993B1F" w:rsidP="002F596A">
      <w:pPr>
        <w:spacing w:line="240" w:lineRule="auto"/>
        <w:jc w:val="both"/>
        <w:rPr>
          <w:rFonts w:ascii="Cambria" w:eastAsia="Times New Roman" w:hAnsi="Cambria" w:cs="Times New Roman"/>
          <w:lang w:val="bs-Latn-BA"/>
        </w:rPr>
      </w:pPr>
    </w:p>
    <w:p w:rsidR="00993B1F" w:rsidRPr="00033459" w:rsidRDefault="002F596A" w:rsidP="002F596A">
      <w:pPr>
        <w:spacing w:line="240" w:lineRule="auto"/>
        <w:jc w:val="both"/>
        <w:rPr>
          <w:rFonts w:ascii="Cambria" w:eastAsia="Times New Roman" w:hAnsi="Cambria" w:cs="Times New Roman"/>
          <w:lang w:val="bs-Latn-BA"/>
        </w:rPr>
      </w:pPr>
      <w:r w:rsidRPr="00033459">
        <w:rPr>
          <w:rFonts w:ascii="Cambria" w:eastAsia="Verdana" w:hAnsi="Cambria" w:cs="Times New Roman"/>
          <w:noProof/>
          <w:sz w:val="24"/>
          <w:lang w:val="bs-Latn-BA" w:eastAsia="bs-Latn-BA"/>
        </w:rPr>
        <w:lastRenderedPageBreak/>
        <w:drawing>
          <wp:anchor distT="0" distB="0" distL="114300" distR="114300" simplePos="0" relativeHeight="251659264" behindDoc="0" locked="0" layoutInCell="1" allowOverlap="1" wp14:anchorId="0C6E5B7C" wp14:editId="55EA488F">
            <wp:simplePos x="0" y="0"/>
            <wp:positionH relativeFrom="margin">
              <wp:posOffset>-19050</wp:posOffset>
            </wp:positionH>
            <wp:positionV relativeFrom="margin">
              <wp:posOffset>-290195</wp:posOffset>
            </wp:positionV>
            <wp:extent cx="5729605" cy="4472940"/>
            <wp:effectExtent l="0" t="0" r="42545" b="3810"/>
            <wp:wrapSquare wrapText="bothSides"/>
            <wp:docPr id="48" name="Diagram 4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14:sizeRelH relativeFrom="margin">
              <wp14:pctWidth>0</wp14:pctWidth>
            </wp14:sizeRelH>
            <wp14:sizeRelV relativeFrom="margin">
              <wp14:pctHeight>0</wp14:pctHeight>
            </wp14:sizeRelV>
          </wp:anchor>
        </w:drawing>
      </w:r>
    </w:p>
    <w:p w:rsidR="00993B1F" w:rsidRPr="00033459" w:rsidRDefault="00942562" w:rsidP="002F596A">
      <w:pPr>
        <w:spacing w:line="240" w:lineRule="auto"/>
        <w:jc w:val="both"/>
        <w:rPr>
          <w:rFonts w:ascii="Cambria" w:eastAsia="Times New Roman" w:hAnsi="Cambria" w:cs="Times New Roman"/>
          <w:lang w:val="bs-Latn-BA"/>
        </w:rPr>
      </w:pPr>
      <w:r w:rsidRPr="00033459">
        <w:rPr>
          <w:rFonts w:ascii="Cambria" w:eastAsia="Times New Roman" w:hAnsi="Cambria" w:cs="Times New Roman"/>
          <w:lang w:val="bs-Latn-BA"/>
        </w:rPr>
        <w:t>Ovaj Izvještaj je sačinjen na osnovu informacija koje su dostavile institucije TK koje su bile nositeljice aktivnosti prema GAP TK, a prezentuje najvažnije informacije o aktivnostima relevantnim za postizanje ciljeva GAP TK za period 01.01.2024. – 31.12.2024. godine, s tim da su određene aktivnosti povezane sa prethodnom godinom, te su kao takve obuhvaćene ovim izvještajem.</w:t>
      </w:r>
    </w:p>
    <w:p w:rsidR="00E257D2" w:rsidRPr="00033459" w:rsidRDefault="00E257D2" w:rsidP="002F596A">
      <w:pPr>
        <w:spacing w:line="240" w:lineRule="auto"/>
        <w:jc w:val="both"/>
        <w:rPr>
          <w:rFonts w:ascii="Cambria" w:eastAsia="Times New Roman" w:hAnsi="Cambria" w:cs="Times New Roman"/>
          <w:lang w:val="bs-Latn-BA"/>
        </w:rPr>
      </w:pPr>
    </w:p>
    <w:p w:rsidR="00993B1F" w:rsidRPr="00033459" w:rsidRDefault="00942562" w:rsidP="002F596A">
      <w:pPr>
        <w:spacing w:line="240" w:lineRule="auto"/>
        <w:jc w:val="both"/>
        <w:rPr>
          <w:rFonts w:ascii="Cambria" w:eastAsia="Times New Roman" w:hAnsi="Cambria" w:cs="Times New Roman"/>
          <w:lang w:val="bs-Latn-BA"/>
        </w:rPr>
      </w:pPr>
      <w:r w:rsidRPr="00033459">
        <w:rPr>
          <w:rFonts w:ascii="Cambria" w:eastAsia="Times New Roman" w:hAnsi="Cambria" w:cs="Times New Roman"/>
          <w:lang w:val="bs-Latn-BA"/>
        </w:rPr>
        <w:t xml:space="preserve">Izvještavanje o realizovanim aktivnostima u svakom od pomenutih ciljeva i prioritetnih oblasti je u ovom izvještaju metodološki strukturirano kao i sam GAP TK, odnosno, na način da prezentuje najvažnije informacije koje se odnose na: </w:t>
      </w:r>
    </w:p>
    <w:p w:rsidR="00993B1F" w:rsidRPr="00033459" w:rsidRDefault="00942562" w:rsidP="002F596A">
      <w:pPr>
        <w:spacing w:line="240" w:lineRule="auto"/>
        <w:jc w:val="both"/>
        <w:rPr>
          <w:rFonts w:ascii="Cambria" w:eastAsia="Times New Roman" w:hAnsi="Cambria" w:cs="Times New Roman"/>
          <w:lang w:val="bs-Latn-BA"/>
        </w:rPr>
      </w:pPr>
      <w:r w:rsidRPr="00033459">
        <w:rPr>
          <w:rFonts w:ascii="Cambria" w:eastAsia="Symbol" w:hAnsi="Cambria" w:cs="Symbol"/>
          <w:lang w:val="bs-Latn-BA"/>
        </w:rPr>
        <w:t>∙</w:t>
      </w:r>
      <w:r w:rsidRPr="00033459">
        <w:rPr>
          <w:rFonts w:ascii="Cambria" w:eastAsia="Times New Roman" w:hAnsi="Cambria" w:cs="Times New Roman"/>
          <w:lang w:val="bs-Latn-BA"/>
        </w:rPr>
        <w:t xml:space="preserve"> kratku analizu stanja, uključujući i važeće domaće i međunarodne propise i dokumente; </w:t>
      </w:r>
    </w:p>
    <w:p w:rsidR="00993B1F" w:rsidRPr="00033459" w:rsidRDefault="00942562" w:rsidP="002F596A">
      <w:pPr>
        <w:spacing w:line="240" w:lineRule="auto"/>
        <w:jc w:val="both"/>
        <w:rPr>
          <w:rFonts w:ascii="Cambria" w:eastAsia="Times New Roman" w:hAnsi="Cambria" w:cs="Times New Roman"/>
          <w:lang w:val="bs-Latn-BA"/>
        </w:rPr>
      </w:pPr>
      <w:r w:rsidRPr="00033459">
        <w:rPr>
          <w:rFonts w:ascii="Cambria" w:eastAsia="Symbol" w:hAnsi="Cambria" w:cs="Symbol"/>
          <w:lang w:val="bs-Latn-BA"/>
        </w:rPr>
        <w:t>∙</w:t>
      </w:r>
      <w:r w:rsidRPr="00033459">
        <w:rPr>
          <w:rFonts w:ascii="Cambria" w:eastAsia="Times New Roman" w:hAnsi="Cambria" w:cs="Times New Roman"/>
          <w:lang w:val="bs-Latn-BA"/>
        </w:rPr>
        <w:t xml:space="preserve"> programe mjera u skladu sa ZoRS-om BiH</w:t>
      </w:r>
      <w:r w:rsidR="00E257D2" w:rsidRPr="00033459">
        <w:rPr>
          <w:rFonts w:ascii="Cambria" w:eastAsia="Times New Roman" w:hAnsi="Cambria" w:cs="Times New Roman"/>
          <w:lang w:val="bs-Latn-BA"/>
        </w:rPr>
        <w:t xml:space="preserve"> </w:t>
      </w:r>
      <w:r w:rsidRPr="00033459">
        <w:rPr>
          <w:rFonts w:ascii="Cambria" w:eastAsia="Times New Roman" w:hAnsi="Cambria" w:cs="Times New Roman"/>
          <w:lang w:val="bs-Latn-BA"/>
        </w:rPr>
        <w:t>nadležne nosioce odgovornosti i rokove</w:t>
      </w:r>
    </w:p>
    <w:p w:rsidR="00993B1F" w:rsidRPr="00033459" w:rsidRDefault="00942562" w:rsidP="002F596A">
      <w:pPr>
        <w:spacing w:line="240" w:lineRule="auto"/>
        <w:jc w:val="both"/>
        <w:rPr>
          <w:rFonts w:ascii="Cambria" w:eastAsia="Times New Roman" w:hAnsi="Cambria" w:cs="Times New Roman"/>
          <w:lang w:val="bs-Latn-BA"/>
        </w:rPr>
      </w:pPr>
      <w:r w:rsidRPr="00033459">
        <w:rPr>
          <w:rFonts w:ascii="Cambria" w:eastAsia="Symbol" w:hAnsi="Cambria" w:cs="Symbol"/>
          <w:lang w:val="bs-Latn-BA"/>
        </w:rPr>
        <w:t>∙</w:t>
      </w:r>
      <w:r w:rsidRPr="00033459">
        <w:rPr>
          <w:rFonts w:ascii="Cambria" w:eastAsia="Times New Roman" w:hAnsi="Cambria" w:cs="Times New Roman"/>
          <w:lang w:val="bs-Latn-BA"/>
        </w:rPr>
        <w:t xml:space="preserve">obavezu izvještavanja. </w:t>
      </w:r>
    </w:p>
    <w:p w:rsidR="002F596A" w:rsidRPr="00033459" w:rsidRDefault="00942562" w:rsidP="002F596A">
      <w:pPr>
        <w:spacing w:line="240" w:lineRule="auto"/>
        <w:jc w:val="both"/>
        <w:rPr>
          <w:rFonts w:ascii="Cambria" w:eastAsia="Times New Roman" w:hAnsi="Cambria" w:cs="Times New Roman"/>
          <w:lang w:val="bs-Latn-BA"/>
        </w:rPr>
      </w:pPr>
      <w:r w:rsidRPr="00033459">
        <w:rPr>
          <w:rFonts w:ascii="Cambria" w:eastAsia="Times New Roman" w:hAnsi="Cambria" w:cs="Times New Roman"/>
          <w:lang w:val="bs-Latn-BA"/>
        </w:rPr>
        <w:t>Izvještaj prezentuje najvažnije informacije o aktivnostima relevantnim za postizanje ciljeva GAP TK</w:t>
      </w:r>
      <w:r w:rsidR="00E257D2" w:rsidRPr="00033459">
        <w:rPr>
          <w:rFonts w:ascii="Cambria" w:eastAsia="Times New Roman" w:hAnsi="Cambria" w:cs="Times New Roman"/>
          <w:lang w:val="bs-Latn-BA"/>
        </w:rPr>
        <w:t xml:space="preserve"> </w:t>
      </w:r>
      <w:r w:rsidRPr="00033459">
        <w:rPr>
          <w:rFonts w:ascii="Cambria" w:eastAsia="Times New Roman" w:hAnsi="Cambria" w:cs="Times New Roman"/>
          <w:lang w:val="bs-Latn-BA"/>
        </w:rPr>
        <w:t>u 2024.godini.</w:t>
      </w:r>
      <w:r w:rsidR="00E257D2" w:rsidRPr="00033459">
        <w:rPr>
          <w:rFonts w:ascii="Cambria" w:eastAsia="Times New Roman" w:hAnsi="Cambria" w:cs="Times New Roman"/>
          <w:lang w:val="bs-Latn-BA"/>
        </w:rPr>
        <w:t xml:space="preserve"> </w:t>
      </w:r>
      <w:r w:rsidR="002F596A" w:rsidRPr="00033459">
        <w:rPr>
          <w:rFonts w:ascii="Cambria" w:eastAsia="Times New Roman" w:hAnsi="Cambria" w:cs="Times New Roman"/>
          <w:lang w:val="bs-Latn-BA"/>
        </w:rPr>
        <w:t xml:space="preserve"> </w:t>
      </w:r>
    </w:p>
    <w:p w:rsidR="002F596A" w:rsidRPr="00033459" w:rsidRDefault="002F596A" w:rsidP="002F596A">
      <w:pPr>
        <w:spacing w:line="240" w:lineRule="auto"/>
        <w:jc w:val="both"/>
        <w:rPr>
          <w:rFonts w:ascii="Cambria" w:eastAsia="Times New Roman" w:hAnsi="Cambria" w:cs="Times New Roman"/>
          <w:lang w:val="bs-Latn-BA"/>
        </w:rPr>
      </w:pPr>
    </w:p>
    <w:p w:rsidR="002F596A" w:rsidRPr="00033459" w:rsidRDefault="002F596A" w:rsidP="002F596A">
      <w:pPr>
        <w:spacing w:line="240" w:lineRule="auto"/>
        <w:jc w:val="both"/>
        <w:rPr>
          <w:rFonts w:ascii="Cambria" w:eastAsia="Times New Roman" w:hAnsi="Cambria" w:cs="Times New Roman"/>
          <w:lang w:val="bs-Latn-BA"/>
        </w:rPr>
      </w:pPr>
    </w:p>
    <w:p w:rsidR="00993B1F" w:rsidRPr="00033459" w:rsidRDefault="00942562" w:rsidP="002F596A">
      <w:pPr>
        <w:spacing w:line="240" w:lineRule="auto"/>
        <w:jc w:val="both"/>
        <w:rPr>
          <w:rFonts w:ascii="Cambria" w:eastAsia="Times New Roman" w:hAnsi="Cambria" w:cs="Times New Roman"/>
          <w:lang w:val="bs-Latn-BA"/>
        </w:rPr>
      </w:pPr>
      <w:r w:rsidRPr="00033459">
        <w:rPr>
          <w:rFonts w:ascii="Cambria" w:eastAsia="Times New Roman" w:hAnsi="Cambria" w:cs="Times New Roman"/>
          <w:lang w:val="bs-Latn-BA"/>
        </w:rPr>
        <w:t xml:space="preserve">Riječi, koje su u ovom Izvještaju pisane u jednom rodu, odnose se bez diskriminacije i na drugi rod. </w:t>
      </w:r>
    </w:p>
    <w:p w:rsidR="00993B1F" w:rsidRPr="00033459" w:rsidRDefault="00942562" w:rsidP="002F596A">
      <w:pPr>
        <w:spacing w:line="240" w:lineRule="auto"/>
        <w:jc w:val="both"/>
        <w:rPr>
          <w:rFonts w:ascii="Cambria" w:eastAsia="Times New Roman" w:hAnsi="Cambria" w:cs="Times New Roman"/>
          <w:lang w:val="bs-Latn-BA"/>
        </w:rPr>
      </w:pPr>
      <w:r w:rsidRPr="00033459">
        <w:rPr>
          <w:rFonts w:ascii="Cambria" w:hAnsi="Cambria"/>
          <w:lang w:val="bs-Latn-BA"/>
        </w:rPr>
        <w:br w:type="page"/>
      </w:r>
    </w:p>
    <w:p w:rsidR="00993B1F" w:rsidRPr="00033459" w:rsidRDefault="00942562" w:rsidP="002F596A">
      <w:pPr>
        <w:pStyle w:val="Heading1"/>
        <w:rPr>
          <w:lang w:val="bs-Latn-BA"/>
        </w:rPr>
      </w:pPr>
      <w:bookmarkStart w:id="3" w:name="_heading=h.30j0zll" w:colFirst="0" w:colLast="0"/>
      <w:bookmarkStart w:id="4" w:name="_Toc195186400"/>
      <w:bookmarkEnd w:id="3"/>
      <w:r w:rsidRPr="00033459">
        <w:rPr>
          <w:lang w:val="bs-Latn-BA"/>
        </w:rPr>
        <w:lastRenderedPageBreak/>
        <w:t>1. SREDNJEROČNI CILJ 1. - MINISTARSTVA I SLUŽBE DJELUJU ZA RAVNOPRAVNOST SPOLOVA</w:t>
      </w:r>
      <w:bookmarkEnd w:id="4"/>
    </w:p>
    <w:p w:rsidR="00E257D2" w:rsidRPr="00033459" w:rsidRDefault="00E257D2" w:rsidP="002F596A">
      <w:pPr>
        <w:pStyle w:val="Heading2"/>
      </w:pPr>
      <w:bookmarkStart w:id="5" w:name="_heading=h.1fob9te" w:colFirst="0" w:colLast="0"/>
      <w:bookmarkStart w:id="6" w:name="_heading=h.3znysh7" w:colFirst="0" w:colLast="0"/>
      <w:bookmarkStart w:id="7" w:name="_Toc195186401"/>
      <w:bookmarkEnd w:id="5"/>
      <w:bookmarkEnd w:id="6"/>
      <w:r w:rsidRPr="00033459">
        <w:t>1.1. Uspostavljeno kantonalno koordinacijsko tijelo za praćenje Gender akcionog plana</w:t>
      </w:r>
      <w:bookmarkEnd w:id="7"/>
    </w:p>
    <w:p w:rsidR="00993B1F" w:rsidRPr="00033459" w:rsidRDefault="00942562" w:rsidP="002F596A">
      <w:pPr>
        <w:jc w:val="both"/>
        <w:rPr>
          <w:rFonts w:ascii="Cambria" w:eastAsia="Times New Roman" w:hAnsi="Cambria" w:cs="Times New Roman"/>
          <w:lang w:val="bs-Latn-BA"/>
        </w:rPr>
      </w:pPr>
      <w:r w:rsidRPr="00033459">
        <w:rPr>
          <w:rFonts w:ascii="Cambria" w:eastAsia="Times New Roman" w:hAnsi="Cambria" w:cs="Times New Roman"/>
          <w:lang w:val="bs-Latn-BA"/>
        </w:rPr>
        <w:t>Obrazloženje tačka 1.1. i tačke 1.2.Vlada Tuzlanskog kantona je Odlukom broj: 02/1-04-26477-2/21 od 30.12.2021. godine imenovala članove Koordinacionog odbora za praćenje Gender akcionog plana Tuzlanskog kantona za period 2021. – 2024. godine. Radnu grupu sačinjavaju predstavnici:</w:t>
      </w:r>
    </w:p>
    <w:p w:rsidR="00993B1F" w:rsidRPr="00033459" w:rsidRDefault="00942562" w:rsidP="00E542BE">
      <w:pPr>
        <w:numPr>
          <w:ilvl w:val="0"/>
          <w:numId w:val="5"/>
        </w:numPr>
        <w:pBdr>
          <w:top w:val="nil"/>
          <w:left w:val="nil"/>
          <w:bottom w:val="nil"/>
          <w:right w:val="nil"/>
          <w:between w:val="nil"/>
        </w:pBdr>
        <w:spacing w:after="0"/>
        <w:jc w:val="both"/>
        <w:rPr>
          <w:rFonts w:ascii="Cambria" w:eastAsia="Times New Roman" w:hAnsi="Cambria" w:cs="Times New Roman"/>
          <w:lang w:val="bs-Latn-BA"/>
        </w:rPr>
      </w:pPr>
      <w:r w:rsidRPr="00033459">
        <w:rPr>
          <w:rFonts w:ascii="Cambria" w:eastAsia="Times New Roman" w:hAnsi="Cambria" w:cs="Times New Roman"/>
          <w:lang w:val="bs-Latn-BA"/>
        </w:rPr>
        <w:t>Ministarstva za rad, socijalnu politiku i povratak Tuzlanskog kantona,</w:t>
      </w:r>
    </w:p>
    <w:p w:rsidR="00993B1F" w:rsidRPr="00033459" w:rsidRDefault="00942562" w:rsidP="00E542BE">
      <w:pPr>
        <w:numPr>
          <w:ilvl w:val="0"/>
          <w:numId w:val="5"/>
        </w:numPr>
        <w:pBdr>
          <w:top w:val="nil"/>
          <w:left w:val="nil"/>
          <w:bottom w:val="nil"/>
          <w:right w:val="nil"/>
          <w:between w:val="nil"/>
        </w:pBdr>
        <w:spacing w:after="0"/>
        <w:jc w:val="both"/>
        <w:rPr>
          <w:rFonts w:ascii="Cambria" w:eastAsia="Times New Roman" w:hAnsi="Cambria" w:cs="Times New Roman"/>
          <w:lang w:val="bs-Latn-BA"/>
        </w:rPr>
      </w:pPr>
      <w:r w:rsidRPr="00033459">
        <w:rPr>
          <w:rFonts w:ascii="Cambria" w:eastAsia="Times New Roman" w:hAnsi="Cambria" w:cs="Times New Roman"/>
          <w:lang w:val="bs-Latn-BA"/>
        </w:rPr>
        <w:t>Ministarstva unutrašnjih poslova Tuzlanskog kantona,</w:t>
      </w:r>
    </w:p>
    <w:p w:rsidR="00993B1F" w:rsidRPr="00033459" w:rsidRDefault="00942562" w:rsidP="00E542BE">
      <w:pPr>
        <w:numPr>
          <w:ilvl w:val="0"/>
          <w:numId w:val="5"/>
        </w:numPr>
        <w:pBdr>
          <w:top w:val="nil"/>
          <w:left w:val="nil"/>
          <w:bottom w:val="nil"/>
          <w:right w:val="nil"/>
          <w:between w:val="nil"/>
        </w:pBdr>
        <w:spacing w:after="0"/>
        <w:jc w:val="both"/>
        <w:rPr>
          <w:rFonts w:ascii="Cambria" w:eastAsia="Times New Roman" w:hAnsi="Cambria" w:cs="Times New Roman"/>
          <w:lang w:val="bs-Latn-BA"/>
        </w:rPr>
      </w:pPr>
      <w:r w:rsidRPr="00033459">
        <w:rPr>
          <w:rFonts w:ascii="Cambria" w:eastAsia="Times New Roman" w:hAnsi="Cambria" w:cs="Times New Roman"/>
          <w:lang w:val="bs-Latn-BA"/>
        </w:rPr>
        <w:t>Ministarstva obrazovanja i nauke Tuzlanskog kantona,</w:t>
      </w:r>
    </w:p>
    <w:p w:rsidR="00993B1F" w:rsidRPr="00033459" w:rsidRDefault="00942562" w:rsidP="00E542BE">
      <w:pPr>
        <w:numPr>
          <w:ilvl w:val="0"/>
          <w:numId w:val="5"/>
        </w:numPr>
        <w:pBdr>
          <w:top w:val="nil"/>
          <w:left w:val="nil"/>
          <w:bottom w:val="nil"/>
          <w:right w:val="nil"/>
          <w:between w:val="nil"/>
        </w:pBdr>
        <w:spacing w:after="0"/>
        <w:jc w:val="both"/>
        <w:rPr>
          <w:rFonts w:ascii="Cambria" w:eastAsia="Times New Roman" w:hAnsi="Cambria" w:cs="Times New Roman"/>
          <w:lang w:val="bs-Latn-BA"/>
        </w:rPr>
      </w:pPr>
      <w:r w:rsidRPr="00033459">
        <w:rPr>
          <w:rFonts w:ascii="Cambria" w:eastAsia="Times New Roman" w:hAnsi="Cambria" w:cs="Times New Roman"/>
          <w:lang w:val="bs-Latn-BA"/>
        </w:rPr>
        <w:t>Ministarstva zdravstva Tuzlanskog kantona,</w:t>
      </w:r>
    </w:p>
    <w:p w:rsidR="00993B1F" w:rsidRPr="00033459" w:rsidRDefault="00942562" w:rsidP="00E542BE">
      <w:pPr>
        <w:numPr>
          <w:ilvl w:val="0"/>
          <w:numId w:val="5"/>
        </w:numPr>
        <w:pBdr>
          <w:top w:val="nil"/>
          <w:left w:val="nil"/>
          <w:bottom w:val="nil"/>
          <w:right w:val="nil"/>
          <w:between w:val="nil"/>
        </w:pBdr>
        <w:spacing w:after="0"/>
        <w:jc w:val="both"/>
        <w:rPr>
          <w:rFonts w:ascii="Cambria" w:eastAsia="Times New Roman" w:hAnsi="Cambria" w:cs="Times New Roman"/>
          <w:lang w:val="bs-Latn-BA"/>
        </w:rPr>
      </w:pPr>
      <w:r w:rsidRPr="00033459">
        <w:rPr>
          <w:rFonts w:ascii="Cambria" w:eastAsia="Times New Roman" w:hAnsi="Cambria" w:cs="Times New Roman"/>
          <w:lang w:val="bs-Latn-BA"/>
        </w:rPr>
        <w:t>Ministarstva finansija Tuzlanskog kantona,</w:t>
      </w:r>
    </w:p>
    <w:p w:rsidR="00993B1F" w:rsidRPr="00033459" w:rsidRDefault="00942562" w:rsidP="00E542BE">
      <w:pPr>
        <w:numPr>
          <w:ilvl w:val="0"/>
          <w:numId w:val="5"/>
        </w:numPr>
        <w:pBdr>
          <w:top w:val="nil"/>
          <w:left w:val="nil"/>
          <w:bottom w:val="nil"/>
          <w:right w:val="nil"/>
          <w:between w:val="nil"/>
        </w:pBdr>
        <w:spacing w:after="0"/>
        <w:jc w:val="both"/>
        <w:rPr>
          <w:rFonts w:ascii="Cambria" w:eastAsia="Times New Roman" w:hAnsi="Cambria" w:cs="Times New Roman"/>
          <w:lang w:val="bs-Latn-BA"/>
        </w:rPr>
      </w:pPr>
      <w:r w:rsidRPr="00033459">
        <w:rPr>
          <w:rFonts w:ascii="Cambria" w:eastAsia="Times New Roman" w:hAnsi="Cambria" w:cs="Times New Roman"/>
          <w:lang w:val="bs-Latn-BA"/>
        </w:rPr>
        <w:t xml:space="preserve">Ministarstva privrede Tuzlanskog kantona </w:t>
      </w:r>
    </w:p>
    <w:p w:rsidR="00993B1F" w:rsidRPr="00033459" w:rsidRDefault="00942562" w:rsidP="00E542BE">
      <w:pPr>
        <w:numPr>
          <w:ilvl w:val="0"/>
          <w:numId w:val="5"/>
        </w:numPr>
        <w:pBdr>
          <w:top w:val="nil"/>
          <w:left w:val="nil"/>
          <w:bottom w:val="nil"/>
          <w:right w:val="nil"/>
          <w:between w:val="nil"/>
        </w:pBdr>
        <w:spacing w:after="0"/>
        <w:jc w:val="both"/>
        <w:rPr>
          <w:rFonts w:ascii="Cambria" w:eastAsia="Times New Roman" w:hAnsi="Cambria" w:cs="Times New Roman"/>
          <w:lang w:val="bs-Latn-BA"/>
        </w:rPr>
      </w:pPr>
      <w:r w:rsidRPr="00033459">
        <w:rPr>
          <w:rFonts w:ascii="Cambria" w:eastAsia="Times New Roman" w:hAnsi="Cambria" w:cs="Times New Roman"/>
          <w:lang w:val="bs-Latn-BA"/>
        </w:rPr>
        <w:t>Ministarstva za kulturu, sport i mlade Tuzlanskog kantona,</w:t>
      </w:r>
    </w:p>
    <w:p w:rsidR="00993B1F" w:rsidRPr="00033459" w:rsidRDefault="00942562" w:rsidP="00E542BE">
      <w:pPr>
        <w:numPr>
          <w:ilvl w:val="0"/>
          <w:numId w:val="5"/>
        </w:numPr>
        <w:pBdr>
          <w:top w:val="nil"/>
          <w:left w:val="nil"/>
          <w:bottom w:val="nil"/>
          <w:right w:val="nil"/>
          <w:between w:val="nil"/>
        </w:pBdr>
        <w:spacing w:after="0"/>
        <w:jc w:val="both"/>
        <w:rPr>
          <w:rFonts w:ascii="Cambria" w:eastAsia="Times New Roman" w:hAnsi="Cambria" w:cs="Times New Roman"/>
          <w:lang w:val="bs-Latn-BA"/>
        </w:rPr>
      </w:pPr>
      <w:r w:rsidRPr="00033459">
        <w:rPr>
          <w:rFonts w:ascii="Cambria" w:eastAsia="Times New Roman" w:hAnsi="Cambria" w:cs="Times New Roman"/>
          <w:lang w:val="bs-Latn-BA"/>
        </w:rPr>
        <w:t xml:space="preserve">Ministarstva pravosuđa i uprave Tuzlanskog kantona, </w:t>
      </w:r>
    </w:p>
    <w:p w:rsidR="00993B1F" w:rsidRPr="00033459" w:rsidRDefault="00942562" w:rsidP="00E542BE">
      <w:pPr>
        <w:numPr>
          <w:ilvl w:val="0"/>
          <w:numId w:val="5"/>
        </w:numPr>
        <w:pBdr>
          <w:top w:val="nil"/>
          <w:left w:val="nil"/>
          <w:bottom w:val="nil"/>
          <w:right w:val="nil"/>
          <w:between w:val="nil"/>
        </w:pBdr>
        <w:spacing w:after="0"/>
        <w:jc w:val="both"/>
        <w:rPr>
          <w:rFonts w:ascii="Cambria" w:eastAsia="Times New Roman" w:hAnsi="Cambria" w:cs="Times New Roman"/>
          <w:lang w:val="bs-Latn-BA"/>
        </w:rPr>
      </w:pPr>
      <w:r w:rsidRPr="00033459">
        <w:rPr>
          <w:rFonts w:ascii="Cambria" w:eastAsia="Times New Roman" w:hAnsi="Cambria" w:cs="Times New Roman"/>
          <w:lang w:val="bs-Latn-BA"/>
        </w:rPr>
        <w:t>JU Službe za zapošljavanje Tuzlanskog kantona i</w:t>
      </w:r>
    </w:p>
    <w:p w:rsidR="00993B1F" w:rsidRPr="00033459" w:rsidRDefault="00942562" w:rsidP="00E542BE">
      <w:pPr>
        <w:numPr>
          <w:ilvl w:val="0"/>
          <w:numId w:val="5"/>
        </w:numPr>
        <w:pBdr>
          <w:top w:val="nil"/>
          <w:left w:val="nil"/>
          <w:bottom w:val="nil"/>
          <w:right w:val="nil"/>
          <w:between w:val="nil"/>
        </w:pBdr>
        <w:spacing w:after="0"/>
        <w:jc w:val="both"/>
        <w:rPr>
          <w:rFonts w:ascii="Cambria" w:eastAsia="Times New Roman" w:hAnsi="Cambria" w:cs="Times New Roman"/>
          <w:lang w:val="bs-Latn-BA"/>
        </w:rPr>
      </w:pPr>
      <w:r w:rsidRPr="00033459">
        <w:rPr>
          <w:rFonts w:ascii="Cambria" w:eastAsia="Times New Roman" w:hAnsi="Cambria" w:cs="Times New Roman"/>
          <w:lang w:val="bs-Latn-BA"/>
        </w:rPr>
        <w:t>Udruženja „Amica Educa“</w:t>
      </w:r>
    </w:p>
    <w:p w:rsidR="00E542BE" w:rsidRDefault="00E542BE" w:rsidP="002F596A">
      <w:pPr>
        <w:spacing w:line="240" w:lineRule="auto"/>
        <w:jc w:val="both"/>
        <w:rPr>
          <w:rFonts w:ascii="Cambria" w:eastAsia="Times New Roman" w:hAnsi="Cambria" w:cs="Times New Roman"/>
          <w:lang w:val="bs-Latn-BA"/>
        </w:rPr>
      </w:pPr>
    </w:p>
    <w:p w:rsidR="00993B1F" w:rsidRPr="00033459" w:rsidRDefault="00942562" w:rsidP="002F596A">
      <w:pPr>
        <w:spacing w:line="240" w:lineRule="auto"/>
        <w:jc w:val="both"/>
        <w:rPr>
          <w:rFonts w:ascii="Cambria" w:eastAsia="Times New Roman" w:hAnsi="Cambria" w:cs="Times New Roman"/>
          <w:lang w:val="bs-Latn-BA"/>
        </w:rPr>
      </w:pPr>
      <w:r w:rsidRPr="00033459">
        <w:rPr>
          <w:rFonts w:ascii="Cambria" w:eastAsia="Times New Roman" w:hAnsi="Cambria" w:cs="Times New Roman"/>
          <w:lang w:val="bs-Latn-BA"/>
        </w:rPr>
        <w:t>Nadležnosti Koordinacionog odbora i obaveze resornih ministarstava utvrđene su Gender akcionim planom Tuzlanskog kantona za period 2021. do 2024. godine</w:t>
      </w:r>
    </w:p>
    <w:p w:rsidR="00993B1F" w:rsidRPr="00033459" w:rsidRDefault="00942562" w:rsidP="002F596A">
      <w:pPr>
        <w:spacing w:line="240" w:lineRule="auto"/>
        <w:jc w:val="both"/>
        <w:rPr>
          <w:rFonts w:ascii="Cambria" w:eastAsia="Times New Roman" w:hAnsi="Cambria" w:cs="Times New Roman"/>
          <w:lang w:val="bs-Latn-BA"/>
        </w:rPr>
      </w:pPr>
      <w:r w:rsidRPr="00033459">
        <w:rPr>
          <w:rFonts w:ascii="Cambria" w:eastAsia="Times New Roman" w:hAnsi="Cambria" w:cs="Times New Roman"/>
          <w:lang w:val="bs-Latn-BA"/>
        </w:rPr>
        <w:t>Nadležnosti Koordinacionog tijela se odnose na:</w:t>
      </w:r>
    </w:p>
    <w:p w:rsidR="00993B1F" w:rsidRPr="00033459" w:rsidRDefault="00942562" w:rsidP="00E542BE">
      <w:pPr>
        <w:numPr>
          <w:ilvl w:val="0"/>
          <w:numId w:val="6"/>
        </w:numPr>
        <w:spacing w:after="0" w:line="240" w:lineRule="auto"/>
        <w:jc w:val="both"/>
        <w:rPr>
          <w:rFonts w:ascii="Cambria" w:eastAsia="Times New Roman" w:hAnsi="Cambria" w:cs="Times New Roman"/>
          <w:lang w:val="bs-Latn-BA"/>
        </w:rPr>
      </w:pPr>
      <w:r w:rsidRPr="00033459">
        <w:rPr>
          <w:rFonts w:ascii="Cambria" w:eastAsia="Times New Roman" w:hAnsi="Cambria" w:cs="Times New Roman"/>
          <w:lang w:val="bs-Latn-BA"/>
        </w:rPr>
        <w:t>Usvajanje plana za praćenje, evaluaciju i izvještavanje o primjeni Gender akcionog plana TK</w:t>
      </w:r>
    </w:p>
    <w:p w:rsidR="00993B1F" w:rsidRPr="00033459" w:rsidRDefault="00942562" w:rsidP="00E542BE">
      <w:pPr>
        <w:numPr>
          <w:ilvl w:val="0"/>
          <w:numId w:val="6"/>
        </w:numPr>
        <w:spacing w:after="0" w:line="240" w:lineRule="auto"/>
        <w:jc w:val="both"/>
        <w:rPr>
          <w:rFonts w:ascii="Cambria" w:eastAsia="Times New Roman" w:hAnsi="Cambria" w:cs="Times New Roman"/>
          <w:lang w:val="bs-Latn-BA"/>
        </w:rPr>
      </w:pPr>
      <w:r w:rsidRPr="00033459">
        <w:rPr>
          <w:rFonts w:ascii="Cambria" w:eastAsia="Times New Roman" w:hAnsi="Cambria" w:cs="Times New Roman"/>
          <w:lang w:val="bs-Latn-BA"/>
        </w:rPr>
        <w:t>Izrada i usvajanje metodologije za izradu godišnjih i završnog izvještaja o provođenja GAP-a</w:t>
      </w:r>
    </w:p>
    <w:p w:rsidR="00993B1F" w:rsidRPr="00033459" w:rsidRDefault="00942562" w:rsidP="00E542BE">
      <w:pPr>
        <w:numPr>
          <w:ilvl w:val="0"/>
          <w:numId w:val="6"/>
        </w:numPr>
        <w:spacing w:after="0" w:line="240" w:lineRule="auto"/>
        <w:jc w:val="both"/>
        <w:rPr>
          <w:rFonts w:ascii="Cambria" w:eastAsia="Times New Roman" w:hAnsi="Cambria" w:cs="Times New Roman"/>
          <w:lang w:val="bs-Latn-BA"/>
        </w:rPr>
      </w:pPr>
      <w:r w:rsidRPr="00033459">
        <w:rPr>
          <w:rFonts w:ascii="Cambria" w:eastAsia="Times New Roman" w:hAnsi="Cambria" w:cs="Times New Roman"/>
          <w:lang w:val="bs-Latn-BA"/>
        </w:rPr>
        <w:t>Izrada i dostavljanje Godišnjeg izvještaja o provođenju GAP i dostavljanje putem Vlade Komisiji za jednakopravnost spolova i Skupštini</w:t>
      </w:r>
    </w:p>
    <w:p w:rsidR="00993B1F" w:rsidRPr="00033459" w:rsidRDefault="00942562" w:rsidP="00E542BE">
      <w:pPr>
        <w:numPr>
          <w:ilvl w:val="0"/>
          <w:numId w:val="6"/>
        </w:numPr>
        <w:spacing w:after="0" w:line="240" w:lineRule="auto"/>
        <w:jc w:val="both"/>
        <w:rPr>
          <w:rFonts w:ascii="Cambria" w:eastAsia="Times New Roman" w:hAnsi="Cambria" w:cs="Times New Roman"/>
          <w:lang w:val="bs-Latn-BA"/>
        </w:rPr>
      </w:pPr>
      <w:r w:rsidRPr="00033459">
        <w:rPr>
          <w:rFonts w:ascii="Cambria" w:eastAsia="Times New Roman" w:hAnsi="Cambria" w:cs="Times New Roman"/>
          <w:lang w:val="bs-Latn-BA"/>
        </w:rPr>
        <w:t>Izvršiti procjenu (evaluaciju) provođenja Gender akcionog plana kao osnovu za izradu narednog Gender akcionog plana</w:t>
      </w:r>
    </w:p>
    <w:p w:rsidR="00993B1F" w:rsidRPr="00033459" w:rsidRDefault="00942562" w:rsidP="00E542BE">
      <w:pPr>
        <w:numPr>
          <w:ilvl w:val="0"/>
          <w:numId w:val="6"/>
        </w:numPr>
        <w:spacing w:after="0" w:line="240" w:lineRule="auto"/>
        <w:jc w:val="both"/>
        <w:rPr>
          <w:rFonts w:ascii="Cambria" w:eastAsia="Times New Roman" w:hAnsi="Cambria" w:cs="Times New Roman"/>
          <w:lang w:val="bs-Latn-BA"/>
        </w:rPr>
      </w:pPr>
      <w:r w:rsidRPr="00033459">
        <w:rPr>
          <w:rFonts w:ascii="Cambria" w:eastAsia="Times New Roman" w:hAnsi="Cambria" w:cs="Times New Roman"/>
          <w:lang w:val="bs-Latn-BA"/>
        </w:rPr>
        <w:t>Utvrditi spisak organizacija civilnog društva i pojedinaca koje se bave ravnopravnošću spolova.</w:t>
      </w:r>
    </w:p>
    <w:p w:rsidR="004F32B1" w:rsidRPr="00033459" w:rsidRDefault="004F32B1" w:rsidP="00E542BE">
      <w:pPr>
        <w:spacing w:line="240" w:lineRule="auto"/>
        <w:jc w:val="both"/>
        <w:rPr>
          <w:rFonts w:ascii="Cambria" w:eastAsia="Times New Roman" w:hAnsi="Cambria" w:cs="Times New Roman"/>
          <w:lang w:val="bs-Latn-BA"/>
        </w:rPr>
      </w:pPr>
    </w:p>
    <w:p w:rsidR="004F32B1" w:rsidRPr="00E542BE" w:rsidRDefault="004F32B1" w:rsidP="00E542BE">
      <w:pPr>
        <w:pStyle w:val="Heading2"/>
      </w:pPr>
      <w:bookmarkStart w:id="8" w:name="_Toc195186402"/>
      <w:r w:rsidRPr="00033459">
        <w:t>1.2. Kapaciteti koordinacionog odbora unaprijeđeni</w:t>
      </w:r>
      <w:bookmarkStart w:id="9" w:name="_heading=h.2et92p0" w:colFirst="0" w:colLast="0"/>
      <w:bookmarkEnd w:id="8"/>
      <w:bookmarkEnd w:id="9"/>
    </w:p>
    <w:p w:rsidR="004F32B1" w:rsidRPr="00033459" w:rsidRDefault="004F32B1" w:rsidP="002F596A">
      <w:pPr>
        <w:jc w:val="both"/>
        <w:rPr>
          <w:rFonts w:ascii="Cambria" w:eastAsia="Times New Roman" w:hAnsi="Cambria" w:cs="Times New Roman"/>
          <w:lang w:val="bs-Latn-BA"/>
        </w:rPr>
      </w:pPr>
      <w:r w:rsidRPr="00033459">
        <w:rPr>
          <w:rFonts w:ascii="Cambria" w:eastAsia="Times New Roman" w:hAnsi="Cambria" w:cs="Times New Roman"/>
          <w:lang w:val="bs-Latn-BA"/>
        </w:rPr>
        <w:t xml:space="preserve">Koordinaciono tijelo za praćenje realizacije Gender akcionog plana Tuzlanskog kantona od dana imenovanja vrši kontinuirane aktivnosti u skladu sa svojim nadležnostima. Aktivnosti na jačanju kapaciteta članova tijela, planirane po usvajanju Gender akcionog plana Tuzlanskog kantona, realizuju se u kontinuitetu. Prvi radni sastanak Koordinacionog tijela održan je 14. marta 2022. godine u prostorijama Ministarstva za rad, socijalnu politiku i povratak Tuzlanskog kantona. Na tom sastanku usvojeni su Poslovnik o radu Koordinacionog tijela i Plan za praćenje, evaluaciju i </w:t>
      </w:r>
      <w:r w:rsidRPr="00033459">
        <w:rPr>
          <w:rFonts w:ascii="Cambria" w:eastAsia="Times New Roman" w:hAnsi="Cambria" w:cs="Times New Roman"/>
          <w:lang w:val="bs-Latn-BA"/>
        </w:rPr>
        <w:lastRenderedPageBreak/>
        <w:t>izvještavanje o primjeni Gender akcionog plana Tuzlanskog kantona, te su definisani ciljevi i aktivnosti koje je bilo potrebno realizirati u narednom periodu.</w:t>
      </w:r>
    </w:p>
    <w:p w:rsidR="004F32B1" w:rsidRPr="00033459" w:rsidRDefault="004F32B1" w:rsidP="002F596A">
      <w:pPr>
        <w:jc w:val="both"/>
        <w:rPr>
          <w:rFonts w:ascii="Cambria" w:eastAsia="Times New Roman" w:hAnsi="Cambria" w:cs="Times New Roman"/>
          <w:lang w:val="bs-Latn-BA"/>
        </w:rPr>
      </w:pPr>
      <w:r w:rsidRPr="00033459">
        <w:rPr>
          <w:rFonts w:ascii="Cambria" w:eastAsia="Times New Roman" w:hAnsi="Cambria" w:cs="Times New Roman"/>
          <w:lang w:val="bs-Latn-BA"/>
        </w:rPr>
        <w:t>U periodu od 6. do 8. aprila 2022. godine, na poziv Gender centra Federacije BiH, predstavnici Koordinacionog tijela su prisustvovali dvodnevnoj radionici na Igmanu. Radionica je imala za cilj jačanje kapaciteta članova tijela i razmjenu iskustava u vezi s implementacijom mjera Gender akcionog plana za 2022. godinu. Poseban fokus bio je na izradi obrazaca za praćenje aktivnosti, kao i inovacijama u oblasti promocije rodne ravnopravnosti. Učesnici radionice bili su članovi i članice Koordinacionog tijela, predstavnici UN Women kancelarije u Sarajevu, predstavnici nevladinog sektora, kao i ekspert za ravnopravnost spolova. Tokom radionice predstavljeni su moduli koji su se odnosili na međunarodni i domaći zakonodavni okvir u oblasti ravnopravnosti spolova i antidiskriminacije, zakonske obaveze institucija po Zakonu o ravnopravnosti spolova BiH, Gender akcionom planu BiH, te finansijskom okviru IPA fondova Evropske unije. Na osnovu prezentiranih informacija doneseni su određeni zaključci, među kojima se posebno ističe da je rodna ravnopravnost jedna od četiri ključne vrijednosti za prihvaćanje projekata iz IPA fondova. Također su donesene preporuke u vezi s daljim funkcionisanjem i praćenjem aktivnosti mjera kroz procjenu utjecaja u narednom periodu implementacije. Ove aktivnosti predstavljale su početne korake u procesu uvođenja rodne komponente u javni sektor Tuzlanskog kantona.</w:t>
      </w:r>
    </w:p>
    <w:p w:rsidR="004F32B1" w:rsidRPr="00033459" w:rsidRDefault="004F32B1" w:rsidP="002F596A">
      <w:pPr>
        <w:jc w:val="both"/>
        <w:rPr>
          <w:rFonts w:ascii="Cambria" w:eastAsia="Times New Roman" w:hAnsi="Cambria" w:cs="Times New Roman"/>
          <w:lang w:val="bs-Latn-BA"/>
        </w:rPr>
      </w:pPr>
      <w:r w:rsidRPr="00033459">
        <w:rPr>
          <w:rFonts w:ascii="Cambria" w:eastAsia="Times New Roman" w:hAnsi="Cambria" w:cs="Times New Roman"/>
          <w:lang w:val="bs-Latn-BA"/>
        </w:rPr>
        <w:t>U julu 2023. godine, predstavnici Koordinacionog tijela su prisustvovali sastanku održanom u Gender centru Federacije BiH, koji je bio usmjeren na evaluaciju saradnje u dosadašnjem periodu. Tokom sastanka razmatrani su oblici podrške koju je Gender centar Federacije BiH pružio resornim ministarstvima, upravama, organizacijama, privrednim subjektima i akademskoj zajednici u provedbi Gender akcionog plana, kao i u realizaciji aktivnosti iz Operativnog plana 2018–2022. godine. Ocijenjen je ukupni proces saradnje, postignuti rezultati, sistemska rješenja, budžetski aspekti, provedene politike i edukacije, te općenito jačanje kapaciteta.</w:t>
      </w:r>
    </w:p>
    <w:p w:rsidR="004F32B1" w:rsidRPr="00033459" w:rsidRDefault="004F32B1" w:rsidP="002F596A">
      <w:pPr>
        <w:jc w:val="both"/>
        <w:rPr>
          <w:rFonts w:ascii="Cambria" w:eastAsia="Times New Roman" w:hAnsi="Cambria" w:cs="Times New Roman"/>
          <w:lang w:val="bs-Latn-BA"/>
        </w:rPr>
      </w:pPr>
      <w:r w:rsidRPr="00033459">
        <w:rPr>
          <w:rFonts w:ascii="Cambria" w:eastAsia="Times New Roman" w:hAnsi="Cambria" w:cs="Times New Roman"/>
          <w:lang w:val="bs-Latn-BA"/>
        </w:rPr>
        <w:t>U novembru 2023. godine, Koordinaciono tijelo je prisustvovalo sastanku na temu jačanja međuinstitucionalne saradnje u implementaciji Gender akcionog plana i drugih dokumenata iz oblasti rodne ravnopravnosti u Tuzlanskom kantonu. Sastanak je održan uz podršku Misije OSCE-a u Bosni i Hercegovini. Cilj sastanka bio je podsticanje aktivnog i koordiniranog uključivanja svih relevantnih institucija u provedbu Gender akcionog plana Vlade Tuzlanskog kantona za period 2021–2024, kao i jačanje saradnje između institucija vlasti i nevladinih organizacija. Na sastanku je učestvovalo ukupno 20 učesnika iz različitih sektora, uključujući savjetnika Premijera TK, Komisiju za jednakopravnost spolova Skupštine TK, Službu Skupštine TK, predstavnike resornih ministarstava, nevladine organizacije i predstavnika OSCE-a.</w:t>
      </w:r>
    </w:p>
    <w:p w:rsidR="004F32B1" w:rsidRPr="00033459" w:rsidRDefault="004F32B1" w:rsidP="002F596A">
      <w:pPr>
        <w:jc w:val="both"/>
        <w:rPr>
          <w:rFonts w:ascii="Cambria" w:eastAsia="Times New Roman" w:hAnsi="Cambria" w:cs="Times New Roman"/>
          <w:lang w:val="bs-Latn-BA"/>
        </w:rPr>
      </w:pPr>
      <w:r w:rsidRPr="00033459">
        <w:rPr>
          <w:rFonts w:ascii="Cambria" w:eastAsia="Times New Roman" w:hAnsi="Cambria" w:cs="Times New Roman"/>
          <w:lang w:val="bs-Latn-BA"/>
        </w:rPr>
        <w:t>Uprkos navedenim aktivnostima, Koordinaciono tijelo je tokom rada uočilo da određeni članovi tijela ne izvršavaju zadatke definisane odlukom Vlade TK, odnosno ne odazivaju se na pozive za učešće u radu tijela. Zaključeno je da je nužno da Vlada TK bude upoznata s ovim izazovom, s ciljem osiguranja punog funkcionisanja tijela.</w:t>
      </w:r>
    </w:p>
    <w:p w:rsidR="004F32B1" w:rsidRPr="00033459" w:rsidRDefault="004F32B1" w:rsidP="002F596A">
      <w:pPr>
        <w:jc w:val="both"/>
        <w:rPr>
          <w:rFonts w:ascii="Cambria" w:eastAsia="Times New Roman" w:hAnsi="Cambria" w:cs="Times New Roman"/>
          <w:lang w:val="bs-Latn-BA"/>
        </w:rPr>
      </w:pPr>
      <w:r w:rsidRPr="00033459">
        <w:rPr>
          <w:rFonts w:ascii="Cambria" w:eastAsia="Times New Roman" w:hAnsi="Cambria" w:cs="Times New Roman"/>
          <w:lang w:val="bs-Latn-BA"/>
        </w:rPr>
        <w:t xml:space="preserve">Ministarstvo za rad, socijalnu politiku i povratak Tuzlanskog kantona, u saradnji sa Gender centrom Federacije BiH, organizovalo je 12. decembra 2024. godine sastanak Koordinacionog tijela radi daljnje implementacije Gender akcionog plana Tuzlanskog kantona za period 2021–2024. Na sastanku su članovi tijela iznijeli svoja mišljenja o izazovima u realizaciji predviđenih mjera, a predstavnici Gender centra Federacije BiH dali su savjete i preporuke u vezi daljeg praćenja i implementacije. Zaključeno je da će Gender centar Federacije BiH dostaviti Koordinacionom tijelu obrazac (urnek izvještaja) u Excel formatu, kako bi svaki član iz svog sektora mogao unijeti relevantne podatke. Ti podaci će se koristiti za izradu izvještaja o realizaciji mjera predviđenih Gender akcionim planom za 2024. godinu. Također je zaključeno da će se prije izrade završnog izvještaja organizovati zajednički sastanak radi dogovora o formi izvještaja, koji </w:t>
      </w:r>
      <w:r w:rsidRPr="00033459">
        <w:rPr>
          <w:rFonts w:ascii="Cambria" w:eastAsia="Times New Roman" w:hAnsi="Cambria" w:cs="Times New Roman"/>
          <w:lang w:val="bs-Latn-BA"/>
        </w:rPr>
        <w:lastRenderedPageBreak/>
        <w:t>treba poslužiti kao osnova za izradu novog Gender akcionog plana Tuzlanskog kantona za period 2024–2027. godine. Revidiranje Gender akcionog plana planirano je za maj 2025. godine, uz obavezno uvažavanje svih primjedbi sadržanih u Revizorskom izvještaju.</w:t>
      </w:r>
    </w:p>
    <w:p w:rsidR="004F32B1" w:rsidRPr="00033459" w:rsidRDefault="004F32B1" w:rsidP="002F596A">
      <w:pPr>
        <w:jc w:val="both"/>
        <w:rPr>
          <w:rFonts w:ascii="Cambria" w:eastAsia="Times New Roman" w:hAnsi="Cambria" w:cs="Times New Roman"/>
          <w:lang w:val="bs-Latn-BA"/>
        </w:rPr>
      </w:pPr>
    </w:p>
    <w:p w:rsidR="004F32B1" w:rsidRPr="00033459" w:rsidRDefault="004F32B1" w:rsidP="002F596A">
      <w:pPr>
        <w:jc w:val="both"/>
        <w:rPr>
          <w:rFonts w:ascii="Cambria" w:eastAsia="Times New Roman" w:hAnsi="Cambria" w:cs="Times New Roman"/>
          <w:lang w:val="bs-Latn-BA"/>
        </w:rPr>
      </w:pPr>
      <w:r w:rsidRPr="00033459">
        <w:rPr>
          <w:rFonts w:ascii="Cambria" w:eastAsia="Times New Roman" w:hAnsi="Cambria" w:cs="Times New Roman"/>
          <w:lang w:val="bs-Latn-BA"/>
        </w:rPr>
        <w:t>U skladu sa nadležnostima definisanim Odlukom o osnivanju Koordinacionog tijela, tijelo je u 2024. godini izradilo Izvještaj o realizaciji Akcionog plana za 2023. godinu. Navedeni izvještaj je usvojen od strane Vlade Tuzlanskog kantona zaključkom broj 02/1-04-9651/24 od 30. aprila 2024. godine. Izvještaj o provođenju Gender akcionog plana TK za period od 1. januara do 31. decembra 2023. godine razmatran je i od strane Komisije za jednakopravnost spolova na sjednici održanoj 31. augusta 2024. godine.</w:t>
      </w:r>
    </w:p>
    <w:p w:rsidR="004F32B1" w:rsidRDefault="004F32B1" w:rsidP="002F596A">
      <w:pPr>
        <w:jc w:val="both"/>
        <w:rPr>
          <w:rFonts w:ascii="Cambria" w:eastAsia="Times New Roman" w:hAnsi="Cambria" w:cs="Times New Roman"/>
          <w:lang w:val="bs-Latn-BA"/>
        </w:rPr>
      </w:pPr>
      <w:r w:rsidRPr="00033459">
        <w:rPr>
          <w:rFonts w:ascii="Cambria" w:eastAsia="Times New Roman" w:hAnsi="Cambria" w:cs="Times New Roman"/>
          <w:lang w:val="bs-Latn-BA"/>
        </w:rPr>
        <w:t>Koordinaciono tijelo je tokom ovog perioda redovno prisustvovalo sjednicama Komisije za jednakopravnost spolova Skupštine Tuzlanskog kantona. Zajednički rad rezultirao je donošenjem Zaključka kojim se traži obezbjeđenje sredstava u Budžetu TK za aktivnosti u vezi s provedbom Gender akcionog plana. Koordinaciono tijelo je postupilo po navedenom Zaključku i podnijelo zahtjev za uvrštavanje sredstava u Budžet Tuzlanskog kantona, čime je po prvi put prepoznat značaj rodno osjetljivog budžetiranja, s obzirom na činjenicu da su brojni kantoni, gradovi i općine u Federaciji BiH već predvidjeli sredstva za provedbu Gender akcionih planova i rad koordinacionih tijela kao ključnih aktera u praćenju i izvještavanju o implementaciji mjera iz oblasti rodne ravnopravnosti.</w:t>
      </w:r>
    </w:p>
    <w:p w:rsidR="00E542BE" w:rsidRPr="00033459" w:rsidRDefault="00E542BE" w:rsidP="002F596A">
      <w:pPr>
        <w:jc w:val="both"/>
        <w:rPr>
          <w:rFonts w:ascii="Cambria" w:eastAsia="Times New Roman" w:hAnsi="Cambria" w:cs="Times New Roman"/>
          <w:lang w:val="bs-Latn-BA"/>
        </w:rPr>
      </w:pPr>
    </w:p>
    <w:p w:rsidR="004F32B1" w:rsidRPr="00033459" w:rsidRDefault="004F32B1" w:rsidP="002F596A">
      <w:pPr>
        <w:pStyle w:val="Heading2"/>
      </w:pPr>
      <w:bookmarkStart w:id="10" w:name="_Toc195186403"/>
      <w:r w:rsidRPr="00033459">
        <w:t>1.3. Uspostavljeni instrumenti za redovnu procjenu uticaja propisa na ravnopravnost spolova</w:t>
      </w:r>
      <w:bookmarkEnd w:id="10"/>
    </w:p>
    <w:p w:rsidR="004F32B1" w:rsidRPr="00033459" w:rsidRDefault="004F32B1" w:rsidP="002F596A">
      <w:pPr>
        <w:pBdr>
          <w:top w:val="nil"/>
          <w:left w:val="nil"/>
          <w:bottom w:val="nil"/>
          <w:right w:val="nil"/>
          <w:between w:val="nil"/>
        </w:pBdr>
        <w:jc w:val="both"/>
        <w:rPr>
          <w:rFonts w:ascii="Cambria" w:eastAsia="Times New Roman" w:hAnsi="Cambria" w:cs="Times New Roman"/>
          <w:b/>
          <w:lang w:val="bs-Latn-BA"/>
        </w:rPr>
      </w:pPr>
      <w:r w:rsidRPr="00033459">
        <w:rPr>
          <w:rFonts w:ascii="Cambria" w:eastAsia="Times New Roman" w:hAnsi="Cambria" w:cs="Times New Roman"/>
          <w:b/>
          <w:lang w:val="bs-Latn-BA"/>
        </w:rPr>
        <w:t xml:space="preserve">Procjena uticaja pravnih propisa na rodnu ravnopravnost - </w:t>
      </w:r>
      <w:r w:rsidRPr="00033459">
        <w:rPr>
          <w:rFonts w:ascii="Cambria" w:eastAsia="Times New Roman" w:hAnsi="Cambria" w:cs="Times New Roman"/>
          <w:lang w:val="bs-Latn-BA"/>
        </w:rPr>
        <w:t xml:space="preserve">mjera za koju je kao nosilac aktivnosti navedeni </w:t>
      </w:r>
      <w:r w:rsidR="00E542BE" w:rsidRPr="00033459">
        <w:rPr>
          <w:rFonts w:ascii="Cambria" w:eastAsia="Times New Roman" w:hAnsi="Cambria" w:cs="Times New Roman"/>
          <w:lang w:val="bs-Latn-BA"/>
        </w:rPr>
        <w:t>Ministarstvo</w:t>
      </w:r>
      <w:r w:rsidRPr="00033459">
        <w:rPr>
          <w:rFonts w:ascii="Cambria" w:eastAsia="Times New Roman" w:hAnsi="Cambria" w:cs="Times New Roman"/>
          <w:lang w:val="bs-Latn-BA"/>
        </w:rPr>
        <w:t xml:space="preserve"> pravosuđa i uprave i Ured za zakonodavstvo. Potrebna je ekspertska podrška odnosno obuka za relevantne službenike kako procijeniti uticaj pravih dokumenta na rodnu ravnopravnost, koju metodologiju primijeniti i ko je sve dužan da to primjenjuje.</w:t>
      </w:r>
      <w:r w:rsidRPr="00033459">
        <w:rPr>
          <w:rFonts w:ascii="Cambria" w:eastAsia="Times New Roman" w:hAnsi="Cambria" w:cs="Times New Roman"/>
          <w:b/>
          <w:lang w:val="bs-Latn-BA"/>
        </w:rPr>
        <w:t xml:space="preserve"> </w:t>
      </w:r>
    </w:p>
    <w:p w:rsidR="004F32B1" w:rsidRPr="00033459" w:rsidRDefault="004F32B1" w:rsidP="002F596A">
      <w:pPr>
        <w:jc w:val="both"/>
        <w:rPr>
          <w:rFonts w:ascii="Cambria" w:hAnsi="Cambria"/>
          <w:lang w:val="bs-Latn-BA"/>
        </w:rPr>
      </w:pPr>
    </w:p>
    <w:p w:rsidR="004F32B1" w:rsidRPr="00033459" w:rsidRDefault="004F32B1" w:rsidP="002F596A">
      <w:pPr>
        <w:pStyle w:val="Heading2"/>
      </w:pPr>
      <w:bookmarkStart w:id="11" w:name="_Toc195186404"/>
      <w:r w:rsidRPr="00033459">
        <w:t>1.4. Provedene sektorske analize mogućnosti za unapređenje stanja ravnopravnosti spolova u prioritetnim oblastima</w:t>
      </w:r>
      <w:bookmarkEnd w:id="11"/>
    </w:p>
    <w:p w:rsidR="002F596A" w:rsidRPr="00033459" w:rsidRDefault="004F32B1" w:rsidP="002F596A">
      <w:pPr>
        <w:pStyle w:val="Heading2"/>
        <w:rPr>
          <w:color w:val="auto"/>
        </w:rPr>
      </w:pPr>
      <w:bookmarkStart w:id="12" w:name="_heading=h.3dy6vkm" w:colFirst="0" w:colLast="0"/>
      <w:bookmarkStart w:id="13" w:name="_Toc195186405"/>
      <w:bookmarkEnd w:id="12"/>
      <w:r w:rsidRPr="00033459">
        <w:t>1.5. Budžet sadrži procjenu uticaja na ravnopravnost spolova (rodno-odgovorno budžetiranje)</w:t>
      </w:r>
      <w:bookmarkStart w:id="14" w:name="_heading=h.k9c3rg86t9ep" w:colFirst="0" w:colLast="0"/>
      <w:bookmarkEnd w:id="13"/>
      <w:bookmarkEnd w:id="14"/>
      <w:r w:rsidRPr="00033459">
        <w:rPr>
          <w:color w:val="auto"/>
        </w:rPr>
        <w:t xml:space="preserve"> </w:t>
      </w:r>
    </w:p>
    <w:p w:rsidR="004F32B1" w:rsidRPr="00033459" w:rsidRDefault="004F32B1" w:rsidP="002F596A">
      <w:pPr>
        <w:pStyle w:val="NormalWeb"/>
        <w:spacing w:before="0" w:beforeAutospacing="0" w:after="160" w:afterAutospacing="0"/>
        <w:jc w:val="both"/>
        <w:rPr>
          <w:rFonts w:ascii="Cambria" w:hAnsi="Cambria"/>
          <w:sz w:val="22"/>
          <w:szCs w:val="22"/>
          <w:lang w:val="bs-Latn-BA"/>
        </w:rPr>
      </w:pPr>
      <w:r w:rsidRPr="00033459">
        <w:rPr>
          <w:rFonts w:ascii="Cambria" w:hAnsi="Cambria"/>
          <w:sz w:val="22"/>
          <w:szCs w:val="22"/>
          <w:lang w:val="bs-Latn-BA"/>
        </w:rPr>
        <w:t>Rodno odgovorno budžetiranje, kao integralni dio programskog budžetiranja, planirano je da bude u primjeni od 2024. godine. U tom kontekstu, edukacija službenika koji se bave planiranjem budžeta u institucijama Tuzlanskog kantona smatra se neophodnom. Kao nosilac odgovornosti u dijelu koji se odnosi na obezbjeđenje sredstava i definisanje obaveze rodno odgovornog budžetiranja u zakonskim okvirima, određen je Ministarstvo finansija Tuzlanskog kantona.</w:t>
      </w:r>
    </w:p>
    <w:p w:rsidR="004F32B1" w:rsidRPr="00033459" w:rsidRDefault="004F32B1" w:rsidP="002F596A">
      <w:pPr>
        <w:pStyle w:val="NormalWeb"/>
        <w:spacing w:before="0" w:beforeAutospacing="0" w:after="160" w:afterAutospacing="0"/>
        <w:jc w:val="both"/>
        <w:rPr>
          <w:rFonts w:ascii="Cambria" w:hAnsi="Cambria"/>
          <w:sz w:val="22"/>
          <w:szCs w:val="22"/>
          <w:lang w:val="bs-Latn-BA"/>
        </w:rPr>
      </w:pPr>
      <w:r w:rsidRPr="00033459">
        <w:rPr>
          <w:rFonts w:ascii="Cambria" w:hAnsi="Cambria"/>
          <w:sz w:val="22"/>
          <w:szCs w:val="22"/>
          <w:lang w:val="bs-Latn-BA"/>
        </w:rPr>
        <w:t>S obzirom na to da je Gender akcioni plan usvojen za period 2021–2024. godina, ova mjera predstavlja ključni preduslov za uspješnu realizaciju ostalih mjera definisanih u okviru plana, te se u trenutnom kontekstu ocjenjuje kao vjerovatno najvažnija. Koordinacioni odbor za praćenje implementacije Gender akcionog plana zauzeo je stav da je potrebno jasno definisati sve korake i subjekte odgovorne za realizaciju ove mjere, s obzirom da u njenoj provedbi, osim Ministarstva finansija, učestvuju i drugi organi uprave. Posebnu pažnju potrebno je posvetiti definisanju potrošačkog mjesta na kojem će se planirati sredstva za izvršenje poslova Koordinacionog tijela,</w:t>
      </w:r>
      <w:r w:rsidR="00E0089A">
        <w:rPr>
          <w:rFonts w:ascii="Cambria" w:hAnsi="Cambria"/>
          <w:sz w:val="22"/>
          <w:szCs w:val="22"/>
          <w:lang w:val="bs-Latn-BA"/>
        </w:rPr>
        <w:t xml:space="preserve"> </w:t>
      </w:r>
      <w:r w:rsidRPr="00033459">
        <w:rPr>
          <w:rFonts w:ascii="Cambria" w:hAnsi="Cambria"/>
          <w:sz w:val="22"/>
          <w:szCs w:val="22"/>
          <w:lang w:val="bs-Latn-BA"/>
        </w:rPr>
        <w:lastRenderedPageBreak/>
        <w:t>kao i ukupna sredstva potrebna za realizaciju programa predviđenih Gender akcionim planom, budući da se radi o tijelu koje je imenovala Vlada Tuzlanskog kantona.</w:t>
      </w:r>
    </w:p>
    <w:p w:rsidR="004F32B1" w:rsidRPr="00033459" w:rsidRDefault="004F32B1" w:rsidP="002F596A">
      <w:pPr>
        <w:pStyle w:val="NormalWeb"/>
        <w:spacing w:before="0" w:beforeAutospacing="0" w:after="160" w:afterAutospacing="0"/>
        <w:jc w:val="both"/>
        <w:rPr>
          <w:rFonts w:ascii="Cambria" w:hAnsi="Cambria"/>
          <w:sz w:val="22"/>
          <w:szCs w:val="22"/>
          <w:lang w:val="bs-Latn-BA"/>
        </w:rPr>
      </w:pPr>
      <w:r w:rsidRPr="00033459">
        <w:rPr>
          <w:rFonts w:ascii="Cambria" w:hAnsi="Cambria"/>
          <w:sz w:val="22"/>
          <w:szCs w:val="22"/>
          <w:lang w:val="bs-Latn-BA"/>
        </w:rPr>
        <w:t>Koordinacioni odbor je predložio da se za 2024. godinu sredstva za rad tijela planiraju na potrošačkom mjestu Vlade Tuzlanskog kantona ili Ministarstva za rad, socijalnu politiku i povratak, koje je nosilac i koordinator u sprovođenju politike rodne ravnopravnosti. U skladu s tim, upućen je zahtjev za planiranje budžetskih sredstava kako bi se u 2024. godini omogućilo finansiranje rada Koordinacionog odbora, uključujući troškove edukacija i aktivnosti vezanih za provođenje Gender akcionog plana. Imajući u vidu da je način finansiranja radnih tijela Vlade već regulisan, kao i da postoji praksa budžetskog finansiranja takvih tijela u drugim kantonima, postoje svi zakonski i tehnički uslovi za planiranje i odobravanje ovih sredstava u Budžetu Tuzlanskog kantona.</w:t>
      </w:r>
    </w:p>
    <w:p w:rsidR="004F32B1" w:rsidRPr="00033459" w:rsidRDefault="004F32B1" w:rsidP="002F596A">
      <w:pPr>
        <w:pStyle w:val="NormalWeb"/>
        <w:spacing w:before="0" w:beforeAutospacing="0" w:after="160" w:afterAutospacing="0"/>
        <w:jc w:val="both"/>
        <w:rPr>
          <w:rFonts w:ascii="Cambria" w:hAnsi="Cambria"/>
          <w:sz w:val="22"/>
          <w:szCs w:val="22"/>
          <w:lang w:val="bs-Latn-BA"/>
        </w:rPr>
      </w:pPr>
      <w:r w:rsidRPr="00033459">
        <w:rPr>
          <w:rFonts w:ascii="Cambria" w:hAnsi="Cambria"/>
          <w:sz w:val="22"/>
          <w:szCs w:val="22"/>
          <w:lang w:val="bs-Latn-BA"/>
        </w:rPr>
        <w:t xml:space="preserve">Uvođenjem ovog modela prepoznaje se značaj rada Koordinacionog tijela u smislu implementacije gender senzitivnog budžetiranja, što bi ujedno predstavljalo početni korak u njegovoj institucionalizaciji u Tuzlanskom kantonu. Do momenta uvođenja programa koji eksplicitno obuhvata rodno odgovorno budžetiranje, ovo tijelo bi nastavilo sa radom na postojećim programima i zadacima predviđenim Gender akcionim planom za period 2021–2024. godina. </w:t>
      </w:r>
    </w:p>
    <w:p w:rsidR="004F32B1" w:rsidRPr="00033459" w:rsidRDefault="004F32B1" w:rsidP="002F596A">
      <w:pPr>
        <w:pStyle w:val="NormalWeb"/>
        <w:spacing w:before="0" w:beforeAutospacing="0" w:after="160" w:afterAutospacing="0"/>
        <w:jc w:val="both"/>
        <w:rPr>
          <w:rFonts w:ascii="Cambria" w:hAnsi="Cambria"/>
          <w:sz w:val="22"/>
          <w:szCs w:val="22"/>
          <w:lang w:val="bs-Latn-BA"/>
        </w:rPr>
      </w:pPr>
      <w:r w:rsidRPr="00033459">
        <w:rPr>
          <w:rFonts w:ascii="Cambria" w:hAnsi="Cambria"/>
          <w:sz w:val="22"/>
          <w:szCs w:val="22"/>
          <w:lang w:val="bs-Latn-BA"/>
        </w:rPr>
        <w:t>Kontinuitet u jačanju kapaciteta Koordinacionog tijela nastavljen je i u 2024. godini. Pored aktivnosti na izradi i prezentaciji izvještaja nadležnim institucijama, članovi Koordinacionog tijela su učestvovali u edukacijama, radionicama i redovnim sastancima tijela. Posebno je važno istaknuti da je krajem 2023. godine Komisija za jednakopravnost spolova od Koordinacionog tijela zatražila informaciju o realiziranim aktivnostima u 2023. godini, na što je Koordinaciono tijelo odgovorilo dostavljanjem informacije akt broj: 09/1-04-33301/23 od 22.12.2023. godine.</w:t>
      </w:r>
    </w:p>
    <w:p w:rsidR="004F32B1" w:rsidRPr="00033459" w:rsidRDefault="004F32B1" w:rsidP="002F596A">
      <w:pPr>
        <w:pStyle w:val="NormalWeb"/>
        <w:spacing w:before="0" w:beforeAutospacing="0" w:after="160" w:afterAutospacing="0"/>
        <w:jc w:val="both"/>
        <w:rPr>
          <w:rFonts w:ascii="Cambria" w:hAnsi="Cambria"/>
          <w:sz w:val="22"/>
          <w:szCs w:val="22"/>
          <w:lang w:val="bs-Latn-BA"/>
        </w:rPr>
      </w:pPr>
      <w:r w:rsidRPr="00033459">
        <w:rPr>
          <w:rFonts w:ascii="Cambria" w:hAnsi="Cambria"/>
          <w:sz w:val="22"/>
          <w:szCs w:val="22"/>
          <w:lang w:val="bs-Latn-BA"/>
        </w:rPr>
        <w:t>Komisija je na sjednici održanoj 30.01.2024. godine razmatrala dostavljenu informaciju i donijela zaključak kojim se daje podrška budžetskom zahtjevu Koordinacionog tijela za osiguranje sredstava u Budžetu Tuzlanskog kantona za 2024. godinu. Zaključak se odnosi na potrebu obezbjeđenja finansijskih sredstava za edukaciju osoba koje su zadužene za implementaciju Gender akcionog plana, kao i za rad članova Koordinacionog tijela.</w:t>
      </w:r>
    </w:p>
    <w:p w:rsidR="004F32B1" w:rsidRPr="00033459" w:rsidRDefault="004F32B1" w:rsidP="002F596A">
      <w:pPr>
        <w:pStyle w:val="NormalWeb"/>
        <w:spacing w:before="0" w:beforeAutospacing="0" w:after="160" w:afterAutospacing="0"/>
        <w:jc w:val="both"/>
        <w:rPr>
          <w:rFonts w:ascii="Cambria" w:hAnsi="Cambria"/>
          <w:sz w:val="22"/>
          <w:szCs w:val="22"/>
          <w:lang w:val="bs-Latn-BA"/>
        </w:rPr>
      </w:pPr>
      <w:r w:rsidRPr="00033459">
        <w:rPr>
          <w:rFonts w:ascii="Cambria" w:hAnsi="Cambria"/>
          <w:sz w:val="22"/>
          <w:szCs w:val="22"/>
          <w:lang w:val="bs-Latn-BA"/>
        </w:rPr>
        <w:t>U okviru aktivnosti u vezi edukacije, Koordinacioni tim je 5. juna 2024. godine prisustvovao radionici na temu „Implementacija rodno odgovornog budžetiranja u Bosni i Hercegovini – izazovi i podrška“, koja je održana u Tuzli. Radionicu je organizovala Komisija za jednakopravnost spolova Tuzlanskog kantona uz podršku Misije OSCE-a u Bosni i Hercegovini, a sa ciljem promocije i podrške provođenju Gender akcionog plana i drugih dokumenata iz oblasti ravnopravnosti spolova. Fokus radionice bio je na jačanju kapaciteta institucija Tuzlanskog kantona za uvođenje rodno odgovornog pristupa u proces planiranja i donošenja budžeta, kao ključnog segmenta programskog budžetiranja.</w:t>
      </w:r>
    </w:p>
    <w:p w:rsidR="004F32B1" w:rsidRPr="00033459" w:rsidRDefault="004F32B1" w:rsidP="002F596A">
      <w:pPr>
        <w:pStyle w:val="NormalWeb"/>
        <w:spacing w:before="0" w:beforeAutospacing="0" w:after="160" w:afterAutospacing="0"/>
        <w:jc w:val="both"/>
        <w:rPr>
          <w:rFonts w:ascii="Cambria" w:hAnsi="Cambria"/>
          <w:sz w:val="22"/>
          <w:szCs w:val="22"/>
          <w:lang w:val="bs-Latn-BA"/>
        </w:rPr>
      </w:pPr>
      <w:r w:rsidRPr="00033459">
        <w:rPr>
          <w:rFonts w:ascii="Cambria" w:hAnsi="Cambria"/>
          <w:sz w:val="22"/>
          <w:szCs w:val="22"/>
          <w:lang w:val="bs-Latn-BA"/>
        </w:rPr>
        <w:t>Radionicu je vodio gospodin Elvis Bebaković, šef Odsjeka za pripremu i izradu Budžeta Ministarstva finansija Federacije Bosne i Hercegovine. Učesnici su imali priliku da se detaljno upoznaju sa pravnim okvirom koji reguliše ovu oblast, obavezama institucija, kao i konkretnim primjerima iz prakse u vezi s rodno odgovornim budžetiranjem.</w:t>
      </w:r>
    </w:p>
    <w:p w:rsidR="00E257D2" w:rsidRPr="00E257D2" w:rsidRDefault="00E257D2" w:rsidP="002F596A">
      <w:pPr>
        <w:spacing w:line="240" w:lineRule="auto"/>
        <w:jc w:val="both"/>
        <w:rPr>
          <w:rFonts w:ascii="Cambria" w:eastAsia="Times New Roman" w:hAnsi="Cambria" w:cs="Times New Roman"/>
          <w:lang w:val="bs-Latn-BA" w:eastAsia="en-GB"/>
        </w:rPr>
      </w:pPr>
      <w:r w:rsidRPr="00E257D2">
        <w:rPr>
          <w:rFonts w:ascii="Cambria" w:eastAsia="Times New Roman" w:hAnsi="Cambria" w:cs="Times New Roman"/>
          <w:lang w:val="bs-Latn-BA" w:eastAsia="en-GB"/>
        </w:rPr>
        <w:t>Ministarstvo finansija je postupalo u skladu sa načelom rodno odgovornog budžetiranja kao horizontalnim principom koji se primjenjuje prilikom kreiranja programa budžetskih korisnika i pripreme kantonalnog budžeta.</w:t>
      </w:r>
    </w:p>
    <w:p w:rsidR="00E257D2" w:rsidRPr="00E257D2" w:rsidRDefault="00E257D2" w:rsidP="002F596A">
      <w:pPr>
        <w:spacing w:line="240" w:lineRule="auto"/>
        <w:jc w:val="both"/>
        <w:rPr>
          <w:rFonts w:ascii="Cambria" w:eastAsia="Times New Roman" w:hAnsi="Cambria" w:cs="Times New Roman"/>
          <w:lang w:val="bs-Latn-BA" w:eastAsia="en-GB"/>
        </w:rPr>
      </w:pPr>
      <w:r w:rsidRPr="00E257D2">
        <w:rPr>
          <w:rFonts w:ascii="Cambria" w:eastAsia="Times New Roman" w:hAnsi="Cambria" w:cs="Times New Roman"/>
          <w:lang w:val="bs-Latn-BA" w:eastAsia="en-GB"/>
        </w:rPr>
        <w:t>Budžetom Tuzlanskog kantona za 2024. godinu predviđena su budžetska sredstva za određene programe koji uključuju i dimenziju rodne ravnopravnosti, u skladu sa nadležnostima i djelokrugom rada pojedinih budžetskih korisnika, gdje je to bilo primjenjivo. Navedeni aspekti su tekstualno obrazloženi unutar budžetskih dokumenata. Također, Budžetom Tuzlanskog kantona za 2025. godinu sadržani su programi koji uključuju aspekt rodne ravnopravnosti, tamo gdje je to bilo moguće.</w:t>
      </w:r>
    </w:p>
    <w:p w:rsidR="00E257D2" w:rsidRPr="00E257D2" w:rsidRDefault="00E257D2" w:rsidP="002F596A">
      <w:pPr>
        <w:spacing w:line="240" w:lineRule="auto"/>
        <w:jc w:val="both"/>
        <w:rPr>
          <w:rFonts w:ascii="Cambria" w:eastAsia="Times New Roman" w:hAnsi="Cambria" w:cs="Times New Roman"/>
          <w:lang w:val="bs-Latn-BA" w:eastAsia="en-GB"/>
        </w:rPr>
      </w:pPr>
      <w:r w:rsidRPr="00E257D2">
        <w:rPr>
          <w:rFonts w:ascii="Cambria" w:eastAsia="Times New Roman" w:hAnsi="Cambria" w:cs="Times New Roman"/>
          <w:lang w:val="bs-Latn-BA" w:eastAsia="en-GB"/>
        </w:rPr>
        <w:lastRenderedPageBreak/>
        <w:t>Ministarstvo finansija planira da u narednom periodu, u okviru redovnog budžetskog procesa, a prilikom dostavljanja Instrukcija broj 1 i broj 2 budžetskim korisnicima, jasno definiše obavezu dostavljanja podataka koji se odnose na primjenu ili mogućnost primjene principa rodne ravnopravnosti. Budžetski korisnici će biti pozvani da, uz obrazloženja svojih budžetskih zahtjeva, dostave i procjenu uticaja svojih programa na ravnopravnost spolova.</w:t>
      </w:r>
    </w:p>
    <w:p w:rsidR="00E257D2" w:rsidRPr="00E257D2" w:rsidRDefault="00E257D2" w:rsidP="002F596A">
      <w:pPr>
        <w:spacing w:line="240" w:lineRule="auto"/>
        <w:jc w:val="both"/>
        <w:rPr>
          <w:rFonts w:ascii="Cambria" w:eastAsia="Times New Roman" w:hAnsi="Cambria" w:cs="Times New Roman"/>
          <w:lang w:val="bs-Latn-BA" w:eastAsia="en-GB"/>
        </w:rPr>
      </w:pPr>
      <w:r w:rsidRPr="00E257D2">
        <w:rPr>
          <w:rFonts w:ascii="Cambria" w:eastAsia="Times New Roman" w:hAnsi="Cambria" w:cs="Times New Roman"/>
          <w:lang w:val="bs-Latn-BA" w:eastAsia="en-GB"/>
        </w:rPr>
        <w:t>Međutim, neophodno je napomenuti da se u Federaciji Bosne i Hercegovine još uvijek usvajaju budžeti koji su strukturirani prema linijskom (klasičnom) modelu, bez potpune operacionalizacije programskog budžetiranja. Budžetski korisnici stoga još uvijek ne izrađuju budžetske zahtjeve u programskom formatu, što predstavlja tehnički preduslov za punu primjenu rodno odgovornog budžetiranja.</w:t>
      </w:r>
    </w:p>
    <w:p w:rsidR="00E257D2" w:rsidRPr="00E257D2" w:rsidRDefault="00E257D2" w:rsidP="002F596A">
      <w:pPr>
        <w:spacing w:line="240" w:lineRule="auto"/>
        <w:jc w:val="both"/>
        <w:rPr>
          <w:rFonts w:ascii="Cambria" w:eastAsia="Times New Roman" w:hAnsi="Cambria" w:cs="Times New Roman"/>
          <w:lang w:val="bs-Latn-BA" w:eastAsia="en-GB"/>
        </w:rPr>
      </w:pPr>
      <w:r w:rsidRPr="00E257D2">
        <w:rPr>
          <w:rFonts w:ascii="Cambria" w:eastAsia="Times New Roman" w:hAnsi="Cambria" w:cs="Times New Roman"/>
          <w:lang w:val="bs-Latn-BA" w:eastAsia="en-GB"/>
        </w:rPr>
        <w:t>U skladu sa Zakonom o budžetima Federacije BiH, implementacija programskog budžetiranja planirana je postupno, i to:</w:t>
      </w:r>
    </w:p>
    <w:p w:rsidR="00E257D2" w:rsidRPr="00E257D2" w:rsidRDefault="00E257D2" w:rsidP="00E542BE">
      <w:pPr>
        <w:numPr>
          <w:ilvl w:val="0"/>
          <w:numId w:val="14"/>
        </w:numPr>
        <w:spacing w:after="0" w:line="240" w:lineRule="auto"/>
        <w:jc w:val="both"/>
        <w:rPr>
          <w:rFonts w:ascii="Cambria" w:eastAsia="Times New Roman" w:hAnsi="Cambria" w:cs="Times New Roman"/>
          <w:lang w:val="bs-Latn-BA" w:eastAsia="en-GB"/>
        </w:rPr>
      </w:pPr>
      <w:r w:rsidRPr="00E257D2">
        <w:rPr>
          <w:rFonts w:ascii="Cambria" w:eastAsia="Times New Roman" w:hAnsi="Cambria" w:cs="Times New Roman"/>
          <w:lang w:val="bs-Latn-BA" w:eastAsia="en-GB"/>
        </w:rPr>
        <w:t>Od budžetskog ciklusa za 2026. godinu za nivo Federacije BiH i vanbudžetske fondove na tom nivou,</w:t>
      </w:r>
    </w:p>
    <w:p w:rsidR="00E257D2" w:rsidRPr="00E257D2" w:rsidRDefault="00E257D2" w:rsidP="00E542BE">
      <w:pPr>
        <w:numPr>
          <w:ilvl w:val="0"/>
          <w:numId w:val="14"/>
        </w:numPr>
        <w:spacing w:after="0" w:line="240" w:lineRule="auto"/>
        <w:jc w:val="both"/>
        <w:rPr>
          <w:rFonts w:ascii="Cambria" w:eastAsia="Times New Roman" w:hAnsi="Cambria" w:cs="Times New Roman"/>
          <w:lang w:val="bs-Latn-BA" w:eastAsia="en-GB"/>
        </w:rPr>
      </w:pPr>
      <w:r w:rsidRPr="00E257D2">
        <w:rPr>
          <w:rFonts w:ascii="Cambria" w:eastAsia="Times New Roman" w:hAnsi="Cambria" w:cs="Times New Roman"/>
          <w:lang w:val="bs-Latn-BA" w:eastAsia="en-GB"/>
        </w:rPr>
        <w:t>Od budžetskog ciklusa za 2028. godinu za nivo kantona i vanbudžetske fondove na nivou kantona.</w:t>
      </w:r>
    </w:p>
    <w:p w:rsidR="00E257D2" w:rsidRPr="00E257D2" w:rsidRDefault="00E257D2" w:rsidP="002F596A">
      <w:pPr>
        <w:spacing w:line="240" w:lineRule="auto"/>
        <w:jc w:val="both"/>
        <w:rPr>
          <w:rFonts w:ascii="Cambria" w:eastAsia="Times New Roman" w:hAnsi="Cambria" w:cs="Times New Roman"/>
          <w:lang w:val="bs-Latn-BA" w:eastAsia="en-GB"/>
        </w:rPr>
      </w:pPr>
      <w:r w:rsidRPr="00E257D2">
        <w:rPr>
          <w:rFonts w:ascii="Cambria" w:eastAsia="Times New Roman" w:hAnsi="Cambria" w:cs="Times New Roman"/>
          <w:lang w:val="bs-Latn-BA" w:eastAsia="en-GB"/>
        </w:rPr>
        <w:t>Tek primjenom programskog budžetiranja stvoriće se tehnički uslovi za punu implementaciju rodno odgovornog budžetiranja.</w:t>
      </w:r>
    </w:p>
    <w:p w:rsidR="00993B1F" w:rsidRPr="00033459" w:rsidRDefault="00993B1F" w:rsidP="002F596A">
      <w:pPr>
        <w:jc w:val="both"/>
        <w:rPr>
          <w:rFonts w:ascii="Cambria" w:hAnsi="Cambria"/>
          <w:lang w:val="bs-Latn-BA"/>
        </w:rPr>
      </w:pPr>
    </w:p>
    <w:p w:rsidR="00E542BE" w:rsidRDefault="00E542BE" w:rsidP="00E542BE">
      <w:pPr>
        <w:rPr>
          <w:lang w:val="bs-Latn-BA"/>
        </w:rPr>
      </w:pPr>
      <w:bookmarkStart w:id="15" w:name="_heading=h.1t3h5sf" w:colFirst="0" w:colLast="0"/>
      <w:bookmarkStart w:id="16" w:name="_Toc195186406"/>
      <w:bookmarkEnd w:id="15"/>
    </w:p>
    <w:p w:rsidR="00E542BE" w:rsidRDefault="00E542BE">
      <w:pPr>
        <w:rPr>
          <w:rFonts w:ascii="Cambria" w:eastAsia="Times New Roman" w:hAnsi="Cambria" w:cs="Times New Roman"/>
          <w:b/>
          <w:bCs/>
          <w:color w:val="1F4E79" w:themeColor="accent1" w:themeShade="80"/>
          <w:lang w:val="bs-Latn-BA"/>
        </w:rPr>
      </w:pPr>
      <w:r>
        <w:rPr>
          <w:lang w:val="bs-Latn-BA"/>
        </w:rPr>
        <w:br w:type="page"/>
      </w:r>
    </w:p>
    <w:p w:rsidR="00E542BE" w:rsidRDefault="00E542BE" w:rsidP="00E542BE">
      <w:pPr>
        <w:rPr>
          <w:lang w:val="bs-Latn-BA"/>
        </w:rPr>
      </w:pPr>
    </w:p>
    <w:p w:rsidR="00993B1F" w:rsidRPr="00E0089A" w:rsidRDefault="00E0089A" w:rsidP="00E0089A">
      <w:pPr>
        <w:rPr>
          <w:rFonts w:ascii="Cambria" w:eastAsia="Times New Roman" w:hAnsi="Cambria" w:cs="Times New Roman"/>
          <w:b/>
          <w:bCs/>
          <w:color w:val="1F4E79" w:themeColor="accent1" w:themeShade="80"/>
          <w:lang w:val="bs-Latn-BA"/>
        </w:rPr>
      </w:pPr>
      <w:r w:rsidRPr="00E0089A">
        <w:rPr>
          <w:rFonts w:ascii="Cambria" w:hAnsi="Cambria"/>
          <w:b/>
          <w:lang w:val="bs-Latn-BA"/>
        </w:rPr>
        <w:t xml:space="preserve">2. </w:t>
      </w:r>
      <w:r w:rsidR="00942562" w:rsidRPr="00E0089A">
        <w:rPr>
          <w:rFonts w:ascii="Cambria" w:hAnsi="Cambria"/>
          <w:b/>
          <w:color w:val="1F4E79" w:themeColor="accent1" w:themeShade="80"/>
          <w:lang w:val="bs-Latn-BA"/>
        </w:rPr>
        <w:t xml:space="preserve"> SREDNJERO</w:t>
      </w:r>
      <w:r w:rsidR="00942562" w:rsidRPr="00E0089A">
        <w:rPr>
          <w:rFonts w:ascii="Cambria" w:hAnsi="Cambria" w:cs="Cambria"/>
          <w:b/>
          <w:color w:val="1F4E79" w:themeColor="accent1" w:themeShade="80"/>
          <w:lang w:val="bs-Latn-BA"/>
        </w:rPr>
        <w:t>Č</w:t>
      </w:r>
      <w:r w:rsidR="00942562" w:rsidRPr="00E0089A">
        <w:rPr>
          <w:rFonts w:ascii="Cambria" w:hAnsi="Cambria"/>
          <w:b/>
          <w:color w:val="1F4E79" w:themeColor="accent1" w:themeShade="80"/>
          <w:lang w:val="bs-Latn-BA"/>
        </w:rPr>
        <w:t>NI CILJ 2- UNAPRE</w:t>
      </w:r>
      <w:r w:rsidR="00942562" w:rsidRPr="00E0089A">
        <w:rPr>
          <w:rFonts w:ascii="Cambria" w:hAnsi="Cambria" w:cs="Cambria"/>
          <w:b/>
          <w:color w:val="1F4E79" w:themeColor="accent1" w:themeShade="80"/>
          <w:lang w:val="bs-Latn-BA"/>
        </w:rPr>
        <w:t>Đ</w:t>
      </w:r>
      <w:r w:rsidR="00942562" w:rsidRPr="00E0089A">
        <w:rPr>
          <w:rFonts w:ascii="Cambria" w:hAnsi="Cambria"/>
          <w:b/>
          <w:color w:val="1F4E79" w:themeColor="accent1" w:themeShade="80"/>
          <w:lang w:val="bs-Latn-BA"/>
        </w:rPr>
        <w:t>ENO JE STANJE RAVNOPRAVNOSTI SPOLOVA NA PODRU</w:t>
      </w:r>
      <w:r w:rsidR="00942562" w:rsidRPr="00E0089A">
        <w:rPr>
          <w:rFonts w:ascii="Cambria" w:hAnsi="Cambria" w:cs="Cambria"/>
          <w:b/>
          <w:color w:val="1F4E79" w:themeColor="accent1" w:themeShade="80"/>
          <w:lang w:val="bs-Latn-BA"/>
        </w:rPr>
        <w:t>Č</w:t>
      </w:r>
      <w:r w:rsidR="00942562" w:rsidRPr="00E0089A">
        <w:rPr>
          <w:rFonts w:ascii="Cambria" w:hAnsi="Cambria"/>
          <w:b/>
          <w:color w:val="1F4E79" w:themeColor="accent1" w:themeShade="80"/>
          <w:lang w:val="bs-Latn-BA"/>
        </w:rPr>
        <w:t>JU TK</w:t>
      </w:r>
      <w:bookmarkEnd w:id="16"/>
    </w:p>
    <w:p w:rsidR="00993B1F" w:rsidRPr="00033459" w:rsidRDefault="00942562" w:rsidP="002F596A">
      <w:pPr>
        <w:pStyle w:val="Heading2"/>
      </w:pPr>
      <w:bookmarkStart w:id="17" w:name="_heading=h.4d34og8" w:colFirst="0" w:colLast="0"/>
      <w:bookmarkStart w:id="18" w:name="_Toc195186407"/>
      <w:bookmarkEnd w:id="17"/>
      <w:r w:rsidRPr="00033459">
        <w:t>2.1. Obrazovni sektor doprinosi ravnopravnosti spolova</w:t>
      </w:r>
      <w:bookmarkEnd w:id="18"/>
    </w:p>
    <w:p w:rsidR="00993B1F" w:rsidRPr="00033459" w:rsidRDefault="00993B1F" w:rsidP="002F596A">
      <w:pPr>
        <w:widowControl w:val="0"/>
        <w:pBdr>
          <w:top w:val="nil"/>
          <w:left w:val="nil"/>
          <w:bottom w:val="nil"/>
          <w:right w:val="nil"/>
          <w:between w:val="nil"/>
        </w:pBdr>
        <w:tabs>
          <w:tab w:val="left" w:pos="5103"/>
        </w:tabs>
        <w:spacing w:line="276" w:lineRule="auto"/>
        <w:ind w:right="4"/>
        <w:jc w:val="both"/>
        <w:rPr>
          <w:rFonts w:ascii="Cambria" w:eastAsia="Times New Roman" w:hAnsi="Cambria" w:cs="Times New Roman"/>
          <w:lang w:val="bs-Latn-BA"/>
        </w:rPr>
      </w:pPr>
    </w:p>
    <w:p w:rsidR="00993B1F" w:rsidRPr="00033459" w:rsidRDefault="00942562" w:rsidP="002F596A">
      <w:pPr>
        <w:widowControl w:val="0"/>
        <w:pBdr>
          <w:top w:val="nil"/>
          <w:left w:val="nil"/>
          <w:bottom w:val="nil"/>
          <w:right w:val="nil"/>
          <w:between w:val="nil"/>
        </w:pBdr>
        <w:tabs>
          <w:tab w:val="left" w:pos="5103"/>
        </w:tabs>
        <w:spacing w:line="276" w:lineRule="auto"/>
        <w:ind w:left="100" w:right="4"/>
        <w:jc w:val="both"/>
        <w:rPr>
          <w:rFonts w:ascii="Cambria" w:eastAsia="Times New Roman" w:hAnsi="Cambria" w:cs="Times New Roman"/>
          <w:lang w:val="bs-Latn-BA"/>
        </w:rPr>
      </w:pPr>
      <w:r w:rsidRPr="00033459">
        <w:rPr>
          <w:rFonts w:ascii="Cambria" w:eastAsia="Times New Roman" w:hAnsi="Cambria" w:cs="Times New Roman"/>
          <w:lang w:val="bs-Latn-BA"/>
        </w:rPr>
        <w:t>Obrazovanje je jedan od najvažnijih uslova za postizanje ravnopravnosti spolova, a posebno u vremenu kada postoji potreba za kontinuiranim obrazovanjem i stručnim usavršavanjem nezavisno od dobi (cjeloživotno učenje).</w:t>
      </w:r>
    </w:p>
    <w:p w:rsidR="00E257D2" w:rsidRPr="00033459" w:rsidRDefault="00E257D2" w:rsidP="002F596A">
      <w:pPr>
        <w:widowControl w:val="0"/>
        <w:pBdr>
          <w:top w:val="nil"/>
          <w:left w:val="nil"/>
          <w:bottom w:val="nil"/>
          <w:right w:val="nil"/>
          <w:between w:val="nil"/>
        </w:pBdr>
        <w:tabs>
          <w:tab w:val="left" w:pos="5103"/>
        </w:tabs>
        <w:spacing w:line="276" w:lineRule="auto"/>
        <w:ind w:left="100" w:right="4"/>
        <w:jc w:val="both"/>
        <w:rPr>
          <w:rFonts w:ascii="Cambria" w:eastAsia="Times New Roman" w:hAnsi="Cambria" w:cs="Times New Roman"/>
          <w:lang w:val="bs-Latn-BA"/>
        </w:rPr>
      </w:pPr>
    </w:p>
    <w:p w:rsidR="00993B1F" w:rsidRPr="00033459" w:rsidRDefault="00942562" w:rsidP="002F596A">
      <w:pPr>
        <w:widowControl w:val="0"/>
        <w:pBdr>
          <w:top w:val="nil"/>
          <w:left w:val="nil"/>
          <w:bottom w:val="nil"/>
          <w:right w:val="nil"/>
          <w:between w:val="nil"/>
        </w:pBdr>
        <w:tabs>
          <w:tab w:val="left" w:pos="5103"/>
        </w:tabs>
        <w:spacing w:line="276" w:lineRule="auto"/>
        <w:ind w:left="100" w:right="4"/>
        <w:jc w:val="both"/>
        <w:rPr>
          <w:rFonts w:ascii="Cambria" w:eastAsia="Times New Roman" w:hAnsi="Cambria" w:cs="Times New Roman"/>
          <w:lang w:val="bs-Latn-BA"/>
        </w:rPr>
      </w:pPr>
      <w:r w:rsidRPr="00033459">
        <w:rPr>
          <w:rFonts w:ascii="Cambria" w:eastAsia="Times New Roman" w:hAnsi="Cambria" w:cs="Times New Roman"/>
          <w:lang w:val="bs-Latn-BA"/>
        </w:rPr>
        <w:t xml:space="preserve">U Bosni i Hercegovini i dalje postoje rodne razlike u obrazovanju u smislu odabira područja studiranja i odabira zanimanja. </w:t>
      </w:r>
      <w:sdt>
        <w:sdtPr>
          <w:rPr>
            <w:rFonts w:ascii="Cambria" w:hAnsi="Cambria"/>
            <w:lang w:val="bs-Latn-BA"/>
          </w:rPr>
          <w:tag w:val="goog_rdk_0"/>
          <w:id w:val="-258987480"/>
        </w:sdtPr>
        <w:sdtEndPr/>
        <w:sdtContent>
          <w:r w:rsidRPr="00033459">
            <w:rPr>
              <w:rFonts w:ascii="Cambria" w:eastAsia="Times New Roman" w:hAnsi="Cambria" w:cs="Times New Roman"/>
              <w:lang w:val="bs-Latn-BA"/>
            </w:rPr>
            <w:t>Prema podacima Ministarstva obrazovanja i nauke Tuzlanskog kantona, na području Tuzlanskog kantona u školskoj 2024/2025. godini u osnovnim školama nastavu je pohađalo 33742 učenika/učenice, od čega je 16.595 ili 49,18% djevojčica</w:t>
          </w:r>
        </w:sdtContent>
      </w:sdt>
      <w:r w:rsidRPr="00033459">
        <w:rPr>
          <w:rFonts w:ascii="Cambria" w:eastAsia="Times New Roman" w:hAnsi="Cambria" w:cs="Times New Roman"/>
          <w:lang w:val="bs-Latn-BA"/>
        </w:rPr>
        <w:t>.</w:t>
      </w:r>
    </w:p>
    <w:p w:rsidR="00744078" w:rsidRPr="00033459" w:rsidRDefault="00744078" w:rsidP="00E542BE">
      <w:pPr>
        <w:widowControl w:val="0"/>
        <w:pBdr>
          <w:top w:val="nil"/>
          <w:left w:val="nil"/>
          <w:bottom w:val="nil"/>
          <w:right w:val="nil"/>
          <w:between w:val="nil"/>
        </w:pBdr>
        <w:tabs>
          <w:tab w:val="left" w:pos="5103"/>
        </w:tabs>
        <w:spacing w:line="276" w:lineRule="auto"/>
        <w:ind w:left="100" w:right="4"/>
        <w:jc w:val="center"/>
        <w:rPr>
          <w:rFonts w:ascii="Cambria" w:eastAsia="Times New Roman" w:hAnsi="Cambria" w:cs="Times New Roman"/>
          <w:highlight w:val="white"/>
          <w:lang w:val="bs-Latn-BA"/>
        </w:rPr>
      </w:pPr>
      <w:r w:rsidRPr="00033459">
        <w:rPr>
          <w:rFonts w:ascii="Cambria" w:eastAsia="Times New Roman" w:hAnsi="Cambria" w:cs="Times New Roman"/>
          <w:noProof/>
          <w:lang w:val="bs-Latn-BA" w:eastAsia="bs-Latn-BA"/>
        </w:rPr>
        <w:drawing>
          <wp:inline distT="0" distB="0" distL="0" distR="0" wp14:anchorId="2C429667" wp14:editId="1190C3F7">
            <wp:extent cx="5227780" cy="2686050"/>
            <wp:effectExtent l="0" t="0" r="0" b="0"/>
            <wp:docPr id="10002895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9567" name=""/>
                    <pic:cNvPicPr/>
                  </pic:nvPicPr>
                  <pic:blipFill>
                    <a:blip r:embed="rId15"/>
                    <a:stretch>
                      <a:fillRect/>
                    </a:stretch>
                  </pic:blipFill>
                  <pic:spPr>
                    <a:xfrm>
                      <a:off x="0" y="0"/>
                      <a:ext cx="5322178" cy="2734552"/>
                    </a:xfrm>
                    <a:prstGeom prst="rect">
                      <a:avLst/>
                    </a:prstGeom>
                  </pic:spPr>
                </pic:pic>
              </a:graphicData>
            </a:graphic>
          </wp:inline>
        </w:drawing>
      </w:r>
    </w:p>
    <w:p w:rsidR="00993B1F" w:rsidRPr="00033459" w:rsidRDefault="00744078" w:rsidP="002F596A">
      <w:pPr>
        <w:widowControl w:val="0"/>
        <w:pBdr>
          <w:top w:val="nil"/>
          <w:left w:val="nil"/>
          <w:bottom w:val="nil"/>
          <w:right w:val="nil"/>
          <w:between w:val="nil"/>
        </w:pBdr>
        <w:tabs>
          <w:tab w:val="left" w:pos="5103"/>
        </w:tabs>
        <w:spacing w:line="276" w:lineRule="auto"/>
        <w:ind w:left="100" w:right="4"/>
        <w:jc w:val="both"/>
        <w:rPr>
          <w:rFonts w:ascii="Cambria" w:eastAsia="Times New Roman" w:hAnsi="Cambria" w:cs="Times New Roman"/>
          <w:lang w:val="bs-Latn-BA"/>
        </w:rPr>
      </w:pPr>
      <w:r w:rsidRPr="00033459">
        <w:rPr>
          <w:rFonts w:ascii="Cambria" w:eastAsia="Times New Roman" w:hAnsi="Cambria" w:cs="Times New Roman"/>
          <w:lang w:val="bs-Latn-BA"/>
        </w:rPr>
        <w:t>Osnovno obrazovanje, Tuzlanski kanton u brojkama 2024</w:t>
      </w:r>
    </w:p>
    <w:p w:rsidR="00744078" w:rsidRPr="00033459" w:rsidRDefault="00744078" w:rsidP="002F596A">
      <w:pPr>
        <w:widowControl w:val="0"/>
        <w:pBdr>
          <w:top w:val="nil"/>
          <w:left w:val="nil"/>
          <w:bottom w:val="nil"/>
          <w:right w:val="nil"/>
          <w:between w:val="nil"/>
        </w:pBdr>
        <w:tabs>
          <w:tab w:val="left" w:pos="5103"/>
        </w:tabs>
        <w:spacing w:line="276" w:lineRule="auto"/>
        <w:ind w:left="100" w:right="4"/>
        <w:jc w:val="both"/>
        <w:rPr>
          <w:rFonts w:ascii="Cambria" w:eastAsia="Times New Roman" w:hAnsi="Cambria" w:cs="Times New Roman"/>
          <w:highlight w:val="white"/>
          <w:lang w:val="bs-Latn-BA"/>
        </w:rPr>
      </w:pPr>
    </w:p>
    <w:sdt>
      <w:sdtPr>
        <w:rPr>
          <w:rFonts w:ascii="Cambria" w:hAnsi="Cambria"/>
          <w:lang w:val="bs-Latn-BA"/>
        </w:rPr>
        <w:tag w:val="goog_rdk_2"/>
        <w:id w:val="-636256691"/>
      </w:sdtPr>
      <w:sdtEndPr/>
      <w:sdtContent>
        <w:p w:rsidR="00993B1F" w:rsidRPr="00033459" w:rsidRDefault="00942562" w:rsidP="002F596A">
          <w:pPr>
            <w:widowControl w:val="0"/>
            <w:pBdr>
              <w:top w:val="nil"/>
              <w:left w:val="nil"/>
              <w:bottom w:val="nil"/>
              <w:right w:val="nil"/>
              <w:between w:val="nil"/>
            </w:pBdr>
            <w:tabs>
              <w:tab w:val="left" w:pos="5103"/>
            </w:tabs>
            <w:spacing w:line="276" w:lineRule="auto"/>
            <w:ind w:left="100" w:right="4"/>
            <w:jc w:val="both"/>
            <w:rPr>
              <w:rFonts w:ascii="Cambria" w:hAnsi="Cambria"/>
              <w:lang w:val="bs-Latn-BA"/>
            </w:rPr>
          </w:pPr>
          <w:r w:rsidRPr="00033459">
            <w:rPr>
              <w:rFonts w:ascii="Cambria" w:eastAsia="Times New Roman" w:hAnsi="Cambria" w:cs="Times New Roman"/>
              <w:highlight w:val="white"/>
              <w:lang w:val="bs-Latn-BA"/>
            </w:rPr>
            <w:t>U srednjim školama u školskoj 2024/2025.godini upisano je 13.926 učenika/učenica, od čega je 6987 ili 50,17% djevojčica. Bilježimo podatak da je značajno više djevojčica upisano u opću gimnaziju 71,73% ili za zanimanja medicinska-sestra tehničar (76,31%) i frizer (84,84%), a da npr. niti jedna djevojčica nije upisana za zanimanja automehaničar, autoelektričar, bravar, električar</w:t>
          </w:r>
          <w:r w:rsidR="00E257D2" w:rsidRPr="00033459">
            <w:rPr>
              <w:rFonts w:ascii="Cambria" w:eastAsia="Times New Roman" w:hAnsi="Cambria" w:cs="Times New Roman"/>
              <w:highlight w:val="white"/>
              <w:lang w:val="bs-Latn-BA"/>
            </w:rPr>
            <w:t>.</w:t>
          </w:r>
          <w:r w:rsidRPr="00033459">
            <w:rPr>
              <w:rFonts w:ascii="Cambria" w:eastAsia="Times New Roman" w:hAnsi="Cambria" w:cs="Times New Roman"/>
              <w:highlight w:val="white"/>
              <w:lang w:val="bs-Latn-BA"/>
            </w:rPr>
            <w:t xml:space="preserve"> S tim u vezi, može konstatovati da je pri upisu učenika u pojedina zanimanja evidentna spolna disproporcija.</w:t>
          </w:r>
          <w:sdt>
            <w:sdtPr>
              <w:rPr>
                <w:rFonts w:ascii="Cambria" w:hAnsi="Cambria"/>
                <w:lang w:val="bs-Latn-BA"/>
              </w:rPr>
              <w:tag w:val="goog_rdk_1"/>
              <w:id w:val="-1635942280"/>
            </w:sdtPr>
            <w:sdtEndPr/>
            <w:sdtContent/>
          </w:sdt>
        </w:p>
      </w:sdtContent>
    </w:sdt>
    <w:p w:rsidR="00744078" w:rsidRPr="00033459" w:rsidRDefault="00744078" w:rsidP="00E542BE">
      <w:pPr>
        <w:widowControl w:val="0"/>
        <w:pBdr>
          <w:top w:val="nil"/>
          <w:left w:val="nil"/>
          <w:bottom w:val="nil"/>
          <w:right w:val="nil"/>
          <w:between w:val="nil"/>
        </w:pBdr>
        <w:tabs>
          <w:tab w:val="left" w:pos="5103"/>
        </w:tabs>
        <w:spacing w:line="276" w:lineRule="auto"/>
        <w:ind w:left="100" w:right="4"/>
        <w:jc w:val="center"/>
        <w:rPr>
          <w:rFonts w:ascii="Cambria" w:eastAsia="Times New Roman" w:hAnsi="Cambria" w:cs="Times New Roman"/>
          <w:highlight w:val="white"/>
          <w:lang w:val="bs-Latn-BA"/>
        </w:rPr>
      </w:pPr>
      <w:r w:rsidRPr="00033459">
        <w:rPr>
          <w:rFonts w:ascii="Cambria" w:eastAsia="Times New Roman" w:hAnsi="Cambria" w:cs="Times New Roman"/>
          <w:noProof/>
          <w:lang w:val="bs-Latn-BA" w:eastAsia="bs-Latn-BA"/>
        </w:rPr>
        <w:lastRenderedPageBreak/>
        <w:drawing>
          <wp:inline distT="0" distB="0" distL="0" distR="0" wp14:anchorId="77DB7573" wp14:editId="3935A1EE">
            <wp:extent cx="5495924" cy="2362200"/>
            <wp:effectExtent l="0" t="0" r="0" b="0"/>
            <wp:docPr id="9925338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533894" name=""/>
                    <pic:cNvPicPr/>
                  </pic:nvPicPr>
                  <pic:blipFill>
                    <a:blip r:embed="rId16"/>
                    <a:stretch>
                      <a:fillRect/>
                    </a:stretch>
                  </pic:blipFill>
                  <pic:spPr>
                    <a:xfrm>
                      <a:off x="0" y="0"/>
                      <a:ext cx="5538980" cy="2380706"/>
                    </a:xfrm>
                    <a:prstGeom prst="rect">
                      <a:avLst/>
                    </a:prstGeom>
                  </pic:spPr>
                </pic:pic>
              </a:graphicData>
            </a:graphic>
          </wp:inline>
        </w:drawing>
      </w:r>
    </w:p>
    <w:p w:rsidR="00744078" w:rsidRPr="00033459" w:rsidRDefault="00744078" w:rsidP="002F596A">
      <w:pPr>
        <w:widowControl w:val="0"/>
        <w:pBdr>
          <w:top w:val="nil"/>
          <w:left w:val="nil"/>
          <w:bottom w:val="nil"/>
          <w:right w:val="nil"/>
          <w:between w:val="nil"/>
        </w:pBdr>
        <w:tabs>
          <w:tab w:val="left" w:pos="5103"/>
        </w:tabs>
        <w:spacing w:line="276" w:lineRule="auto"/>
        <w:ind w:left="100" w:right="4"/>
        <w:jc w:val="both"/>
        <w:rPr>
          <w:rFonts w:ascii="Cambria" w:eastAsia="Times New Roman" w:hAnsi="Cambria" w:cs="Times New Roman"/>
          <w:highlight w:val="white"/>
          <w:lang w:val="bs-Latn-BA"/>
        </w:rPr>
      </w:pPr>
      <w:r w:rsidRPr="00033459">
        <w:rPr>
          <w:rFonts w:ascii="Cambria" w:eastAsia="Times New Roman" w:hAnsi="Cambria" w:cs="Times New Roman"/>
          <w:lang w:val="bs-Latn-BA"/>
        </w:rPr>
        <w:t>Srednje obrazovanje, Tuzlanski kanton u brojkama 2024</w:t>
      </w:r>
    </w:p>
    <w:p w:rsidR="00993B1F" w:rsidRPr="00033459" w:rsidRDefault="00942562" w:rsidP="002F596A">
      <w:pPr>
        <w:pStyle w:val="Heading2"/>
        <w:rPr>
          <w:rFonts w:eastAsia="Calibri"/>
        </w:rPr>
      </w:pPr>
      <w:bookmarkStart w:id="19" w:name="_heading=h.e7j2qbirrid4" w:colFirst="0" w:colLast="0"/>
      <w:bookmarkStart w:id="20" w:name="_Toc195186408"/>
      <w:bookmarkEnd w:id="19"/>
      <w:r w:rsidRPr="00033459">
        <w:t>2.2. Smanjen jaz između žena i muškaraca na tržištu rada</w:t>
      </w:r>
      <w:bookmarkEnd w:id="20"/>
    </w:p>
    <w:p w:rsidR="00993B1F" w:rsidRPr="00033459" w:rsidRDefault="00942562" w:rsidP="002F596A">
      <w:pPr>
        <w:widowControl w:val="0"/>
        <w:tabs>
          <w:tab w:val="left" w:pos="5103"/>
        </w:tabs>
        <w:spacing w:line="276" w:lineRule="auto"/>
        <w:jc w:val="both"/>
        <w:rPr>
          <w:rFonts w:ascii="Cambria" w:eastAsia="Times New Roman" w:hAnsi="Cambria" w:cs="Times New Roman"/>
          <w:lang w:val="bs-Latn-BA"/>
        </w:rPr>
      </w:pPr>
      <w:r w:rsidRPr="00033459">
        <w:rPr>
          <w:rFonts w:ascii="Cambria" w:eastAsia="Times New Roman" w:hAnsi="Cambria" w:cs="Times New Roman"/>
          <w:lang w:val="bs-Latn-BA"/>
        </w:rPr>
        <w:t>Ravnopravno učešće žena i muškaraca na tržištu rada je jedan od preduslova za postizanje ciljeva ravnopravnosti spolova. U BiH u svim različitim dobnim skupinama, prihodovnim razredima i lokacijama, muškarci više od žena učestvuju u radnoj snazi. Učešće žena u radnoj snazi u BiH je značajno niže nego što bi se moglo očekivati i trenutno je jedno od najnižih u Evropi.</w:t>
      </w:r>
    </w:p>
    <w:p w:rsidR="00993B1F" w:rsidRPr="00033459" w:rsidRDefault="00942562" w:rsidP="002F596A">
      <w:pPr>
        <w:widowControl w:val="0"/>
        <w:tabs>
          <w:tab w:val="left" w:pos="5103"/>
        </w:tabs>
        <w:spacing w:line="276" w:lineRule="auto"/>
        <w:jc w:val="both"/>
        <w:rPr>
          <w:rFonts w:ascii="Cambria" w:eastAsia="Times New Roman" w:hAnsi="Cambria" w:cs="Times New Roman"/>
          <w:lang w:val="bs-Latn-BA"/>
        </w:rPr>
      </w:pPr>
      <w:r w:rsidRPr="00033459">
        <w:rPr>
          <w:rFonts w:ascii="Cambria" w:eastAsia="Times New Roman" w:hAnsi="Cambria" w:cs="Times New Roman"/>
          <w:lang w:val="bs-Latn-BA"/>
        </w:rPr>
        <w:t>Prema statističkim podacima JU Službe za zapošljavanje TK, Tuzla na dan 31.12.2024. godine</w:t>
      </w:r>
      <w:r w:rsidR="00E257D2" w:rsidRPr="00033459">
        <w:rPr>
          <w:rFonts w:ascii="Cambria" w:eastAsia="Times New Roman" w:hAnsi="Cambria" w:cs="Times New Roman"/>
          <w:lang w:val="bs-Latn-BA"/>
        </w:rPr>
        <w:t xml:space="preserve"> </w:t>
      </w:r>
      <w:r w:rsidRPr="00033459">
        <w:rPr>
          <w:rFonts w:ascii="Cambria" w:eastAsia="Times New Roman" w:hAnsi="Cambria" w:cs="Times New Roman"/>
          <w:lang w:val="bs-Latn-BA"/>
        </w:rPr>
        <w:t xml:space="preserve">evidentirane su 60.459 </w:t>
      </w:r>
      <w:r w:rsidR="00E542BE" w:rsidRPr="00033459">
        <w:rPr>
          <w:rFonts w:ascii="Cambria" w:eastAsia="Times New Roman" w:hAnsi="Cambria" w:cs="Times New Roman"/>
          <w:lang w:val="bs-Latn-BA"/>
        </w:rPr>
        <w:t>nezaposlen</w:t>
      </w:r>
      <w:r w:rsidR="00E542BE">
        <w:rPr>
          <w:rFonts w:ascii="Cambria" w:eastAsia="Times New Roman" w:hAnsi="Cambria" w:cs="Times New Roman"/>
          <w:lang w:val="bs-Latn-BA"/>
        </w:rPr>
        <w:t>e</w:t>
      </w:r>
      <w:r w:rsidRPr="00033459">
        <w:rPr>
          <w:rFonts w:ascii="Cambria" w:eastAsia="Times New Roman" w:hAnsi="Cambria" w:cs="Times New Roman"/>
          <w:lang w:val="bs-Latn-BA"/>
        </w:rPr>
        <w:t xml:space="preserve"> osobe, dok u istom periodu prethodne godine 64.493 nezaposlene osobe, što govori da je za 4.034 osoba manje na evidenciji. Od ukupnog broja osoba koje traže zaposlenje, 39.333 su žene.</w:t>
      </w:r>
    </w:p>
    <w:p w:rsidR="00993B1F" w:rsidRPr="00033459" w:rsidRDefault="00942562" w:rsidP="002F596A">
      <w:pPr>
        <w:widowControl w:val="0"/>
        <w:tabs>
          <w:tab w:val="left" w:pos="5103"/>
        </w:tabs>
        <w:spacing w:line="276" w:lineRule="auto"/>
        <w:jc w:val="both"/>
        <w:rPr>
          <w:rFonts w:ascii="Cambria" w:eastAsia="Times New Roman" w:hAnsi="Cambria" w:cs="Times New Roman"/>
          <w:lang w:val="bs-Latn-BA"/>
        </w:rPr>
      </w:pPr>
      <w:r w:rsidRPr="00033459">
        <w:rPr>
          <w:rFonts w:ascii="Cambria" w:eastAsia="Times New Roman" w:hAnsi="Cambria" w:cs="Times New Roman"/>
          <w:lang w:val="bs-Latn-BA"/>
        </w:rPr>
        <w:t>Učešće žena u strukturi nezaposlenih u 2024. godini u odnosu na 2023. godinu je rastao, a procenat muškaraca padao. U oba slučaja radi se o podacima registrovane nezaposlenosti i teško je donijeti zaključak o uzrocima takvog stanja. Statistički podaci JU Služba za zapošljavanje TK</w:t>
      </w:r>
      <w:r w:rsidR="00E257D2" w:rsidRPr="00033459">
        <w:rPr>
          <w:rFonts w:ascii="Cambria" w:eastAsia="Times New Roman" w:hAnsi="Cambria" w:cs="Times New Roman"/>
          <w:lang w:val="bs-Latn-BA"/>
        </w:rPr>
        <w:t xml:space="preserve"> </w:t>
      </w:r>
      <w:r w:rsidRPr="00033459">
        <w:rPr>
          <w:rFonts w:ascii="Cambria" w:eastAsia="Times New Roman" w:hAnsi="Cambria" w:cs="Times New Roman"/>
          <w:lang w:val="bs-Latn-BA"/>
        </w:rPr>
        <w:t>pokazuju da u Tuzlanskom kantonu u 2024. godini procenat nezaposlenih žena je 65,14% dok muškaraca 34,86%.</w:t>
      </w:r>
      <w:r w:rsidR="00E257D2" w:rsidRPr="00033459">
        <w:rPr>
          <w:rFonts w:ascii="Cambria" w:eastAsia="Times New Roman" w:hAnsi="Cambria" w:cs="Times New Roman"/>
          <w:lang w:val="bs-Latn-BA"/>
        </w:rPr>
        <w:t xml:space="preserve"> </w:t>
      </w:r>
    </w:p>
    <w:p w:rsidR="00993B1F" w:rsidRPr="00033459" w:rsidRDefault="00942562" w:rsidP="002F596A">
      <w:pPr>
        <w:widowControl w:val="0"/>
        <w:tabs>
          <w:tab w:val="left" w:pos="5103"/>
        </w:tabs>
        <w:spacing w:line="276" w:lineRule="auto"/>
        <w:jc w:val="both"/>
        <w:rPr>
          <w:rFonts w:ascii="Cambria" w:eastAsia="Times New Roman" w:hAnsi="Cambria" w:cs="Times New Roman"/>
          <w:lang w:val="bs-Latn-BA"/>
        </w:rPr>
      </w:pPr>
      <w:r w:rsidRPr="00033459">
        <w:rPr>
          <w:rFonts w:ascii="Cambria" w:eastAsia="Times New Roman" w:hAnsi="Cambria" w:cs="Times New Roman"/>
          <w:lang w:val="bs-Latn-BA"/>
        </w:rPr>
        <w:t>Aktivnosti JU Službe za zapošljavanje TK u okviru realizacije aktivnih mjera zapošljavanja bile su usmjerene na poticanje poslodavaca da traže radnu snagu.</w:t>
      </w:r>
    </w:p>
    <w:p w:rsidR="00993B1F" w:rsidRPr="00033459" w:rsidRDefault="00942562" w:rsidP="002F596A">
      <w:pPr>
        <w:widowControl w:val="0"/>
        <w:tabs>
          <w:tab w:val="left" w:pos="5103"/>
        </w:tabs>
        <w:spacing w:line="276" w:lineRule="auto"/>
        <w:jc w:val="both"/>
        <w:rPr>
          <w:rFonts w:ascii="Cambria" w:eastAsia="Times New Roman" w:hAnsi="Cambria" w:cs="Times New Roman"/>
          <w:lang w:val="bs-Latn-BA"/>
        </w:rPr>
      </w:pPr>
      <w:r w:rsidRPr="00033459">
        <w:rPr>
          <w:rFonts w:ascii="Cambria" w:eastAsia="Times New Roman" w:hAnsi="Cambria" w:cs="Times New Roman"/>
          <w:lang w:val="bs-Latn-BA"/>
        </w:rPr>
        <w:t>S druge strane, Služba se usmjerila na pružanje podrške nezaposlenim osobama kroz poboljšanje njihove zapošljivosti i konkurentnosti, sticanje radnog iskustva i potrebnih vještina, sprečavanja dugotrajne nezaposlenosti, kao i poticanje njihovog samozapošljavanja, odnosno kroz razvoj poduzetništva.</w:t>
      </w:r>
    </w:p>
    <w:p w:rsidR="00993B1F" w:rsidRPr="00033459" w:rsidRDefault="00942562" w:rsidP="002F596A">
      <w:pPr>
        <w:widowControl w:val="0"/>
        <w:tabs>
          <w:tab w:val="left" w:pos="5103"/>
        </w:tabs>
        <w:spacing w:line="276" w:lineRule="auto"/>
        <w:jc w:val="both"/>
        <w:rPr>
          <w:rFonts w:ascii="Cambria" w:eastAsia="Times New Roman" w:hAnsi="Cambria" w:cs="Times New Roman"/>
          <w:lang w:val="bs-Latn-BA"/>
        </w:rPr>
      </w:pPr>
      <w:r w:rsidRPr="00033459">
        <w:rPr>
          <w:rFonts w:ascii="Cambria" w:eastAsia="Times New Roman" w:hAnsi="Cambria" w:cs="Times New Roman"/>
          <w:lang w:val="bs-Latn-BA"/>
        </w:rPr>
        <w:t>U praksi to znači stvaranje jednakih mogućnosti u pristupu tržištu rada, kroz programe Službe i</w:t>
      </w:r>
      <w:r w:rsidR="00E257D2" w:rsidRPr="00033459">
        <w:rPr>
          <w:rFonts w:ascii="Cambria" w:eastAsia="Times New Roman" w:hAnsi="Cambria" w:cs="Times New Roman"/>
          <w:lang w:val="bs-Latn-BA"/>
        </w:rPr>
        <w:t xml:space="preserve"> </w:t>
      </w:r>
      <w:r w:rsidRPr="00033459">
        <w:rPr>
          <w:rFonts w:ascii="Cambria" w:eastAsia="Times New Roman" w:hAnsi="Cambria" w:cs="Times New Roman"/>
          <w:lang w:val="bs-Latn-BA"/>
        </w:rPr>
        <w:t xml:space="preserve">Federalnog zavoda za </w:t>
      </w:r>
      <w:r w:rsidR="00E542BE" w:rsidRPr="00033459">
        <w:rPr>
          <w:rFonts w:ascii="Cambria" w:eastAsia="Times New Roman" w:hAnsi="Cambria" w:cs="Times New Roman"/>
          <w:lang w:val="bs-Latn-BA"/>
        </w:rPr>
        <w:t>zapošljavanje</w:t>
      </w:r>
      <w:r w:rsidRPr="00033459">
        <w:rPr>
          <w:rFonts w:ascii="Cambria" w:eastAsia="Times New Roman" w:hAnsi="Cambria" w:cs="Times New Roman"/>
          <w:lang w:val="bs-Latn-BA"/>
        </w:rPr>
        <w:t>.</w:t>
      </w:r>
      <w:r w:rsidR="00E257D2" w:rsidRPr="00033459">
        <w:rPr>
          <w:rFonts w:ascii="Cambria" w:eastAsia="Times New Roman" w:hAnsi="Cambria" w:cs="Times New Roman"/>
          <w:lang w:val="bs-Latn-BA"/>
        </w:rPr>
        <w:t xml:space="preserve"> </w:t>
      </w:r>
      <w:r w:rsidRPr="00033459">
        <w:rPr>
          <w:rFonts w:ascii="Cambria" w:eastAsia="Times New Roman" w:hAnsi="Cambria" w:cs="Times New Roman"/>
          <w:lang w:val="bs-Latn-BA"/>
        </w:rPr>
        <w:t xml:space="preserve">Sredstva za poticaje aktivnih mjera </w:t>
      </w:r>
      <w:r w:rsidR="00E542BE" w:rsidRPr="00033459">
        <w:rPr>
          <w:rFonts w:ascii="Cambria" w:eastAsia="Times New Roman" w:hAnsi="Cambria" w:cs="Times New Roman"/>
          <w:lang w:val="bs-Latn-BA"/>
        </w:rPr>
        <w:t>zapošljavanja</w:t>
      </w:r>
      <w:r w:rsidRPr="00033459">
        <w:rPr>
          <w:rFonts w:ascii="Cambria" w:eastAsia="Times New Roman" w:hAnsi="Cambria" w:cs="Times New Roman"/>
          <w:lang w:val="bs-Latn-BA"/>
        </w:rPr>
        <w:t xml:space="preserve"> su predviđena </w:t>
      </w:r>
      <w:r w:rsidR="00E542BE" w:rsidRPr="00033459">
        <w:rPr>
          <w:rFonts w:ascii="Cambria" w:eastAsia="Times New Roman" w:hAnsi="Cambria" w:cs="Times New Roman"/>
          <w:lang w:val="bs-Latn-BA"/>
        </w:rPr>
        <w:t>Finansijskim</w:t>
      </w:r>
      <w:r w:rsidRPr="00033459">
        <w:rPr>
          <w:rFonts w:ascii="Cambria" w:eastAsia="Times New Roman" w:hAnsi="Cambria" w:cs="Times New Roman"/>
          <w:lang w:val="bs-Latn-BA"/>
        </w:rPr>
        <w:t xml:space="preserve"> planom JU Službe za zapošljavanje, te njihova realizacija je sastavni dio, kako kvartalnih tako i godišnjih izvještaja o izvršenju Finansijskog plana.</w:t>
      </w:r>
    </w:p>
    <w:p w:rsidR="00E0089A" w:rsidRDefault="00E0089A" w:rsidP="002F596A">
      <w:pPr>
        <w:widowControl w:val="0"/>
        <w:tabs>
          <w:tab w:val="left" w:pos="5103"/>
        </w:tabs>
        <w:spacing w:line="276" w:lineRule="auto"/>
        <w:jc w:val="both"/>
        <w:rPr>
          <w:rFonts w:ascii="Cambria" w:eastAsia="Times New Roman" w:hAnsi="Cambria" w:cs="Times New Roman"/>
          <w:b/>
          <w:i/>
          <w:lang w:val="bs-Latn-BA"/>
        </w:rPr>
      </w:pPr>
    </w:p>
    <w:p w:rsidR="00E0089A" w:rsidRDefault="00E0089A" w:rsidP="002F596A">
      <w:pPr>
        <w:widowControl w:val="0"/>
        <w:tabs>
          <w:tab w:val="left" w:pos="5103"/>
        </w:tabs>
        <w:spacing w:line="276" w:lineRule="auto"/>
        <w:jc w:val="both"/>
        <w:rPr>
          <w:rFonts w:ascii="Cambria" w:eastAsia="Times New Roman" w:hAnsi="Cambria" w:cs="Times New Roman"/>
          <w:b/>
          <w:i/>
          <w:lang w:val="bs-Latn-BA"/>
        </w:rPr>
      </w:pPr>
    </w:p>
    <w:p w:rsidR="00E0089A" w:rsidRDefault="00E0089A" w:rsidP="002F596A">
      <w:pPr>
        <w:widowControl w:val="0"/>
        <w:tabs>
          <w:tab w:val="left" w:pos="5103"/>
        </w:tabs>
        <w:spacing w:line="276" w:lineRule="auto"/>
        <w:jc w:val="both"/>
        <w:rPr>
          <w:rFonts w:ascii="Cambria" w:eastAsia="Times New Roman" w:hAnsi="Cambria" w:cs="Times New Roman"/>
          <w:b/>
          <w:i/>
          <w:lang w:val="bs-Latn-BA"/>
        </w:rPr>
      </w:pPr>
    </w:p>
    <w:p w:rsidR="00993B1F" w:rsidRPr="00033459" w:rsidRDefault="00942562" w:rsidP="002F596A">
      <w:pPr>
        <w:widowControl w:val="0"/>
        <w:tabs>
          <w:tab w:val="left" w:pos="5103"/>
        </w:tabs>
        <w:spacing w:line="276" w:lineRule="auto"/>
        <w:jc w:val="both"/>
        <w:rPr>
          <w:rFonts w:ascii="Cambria" w:eastAsia="Times New Roman" w:hAnsi="Cambria" w:cs="Times New Roman"/>
          <w:b/>
          <w:i/>
          <w:lang w:val="bs-Latn-BA"/>
        </w:rPr>
      </w:pPr>
      <w:r w:rsidRPr="00033459">
        <w:rPr>
          <w:rFonts w:ascii="Cambria" w:eastAsia="Times New Roman" w:hAnsi="Cambria" w:cs="Times New Roman"/>
          <w:b/>
          <w:i/>
          <w:lang w:val="bs-Latn-BA"/>
        </w:rPr>
        <w:lastRenderedPageBreak/>
        <w:t>Grafikon 1: Procenat nezaposlenih u poređenju 2024. godina u odnosu na 2023. godinu</w:t>
      </w:r>
    </w:p>
    <w:p w:rsidR="00993B1F" w:rsidRPr="00033459" w:rsidRDefault="00942562" w:rsidP="002F596A">
      <w:pPr>
        <w:widowControl w:val="0"/>
        <w:tabs>
          <w:tab w:val="left" w:pos="5103"/>
        </w:tabs>
        <w:spacing w:line="276" w:lineRule="auto"/>
        <w:jc w:val="both"/>
        <w:rPr>
          <w:rFonts w:ascii="Cambria" w:eastAsia="Times New Roman" w:hAnsi="Cambria" w:cs="Times New Roman"/>
          <w:b/>
          <w:i/>
          <w:lang w:val="bs-Latn-BA"/>
        </w:rPr>
      </w:pPr>
      <w:r w:rsidRPr="00033459">
        <w:rPr>
          <w:rFonts w:ascii="Cambria" w:eastAsia="Times New Roman" w:hAnsi="Cambria" w:cs="Times New Roman"/>
          <w:b/>
          <w:i/>
          <w:noProof/>
          <w:lang w:val="bs-Latn-BA" w:eastAsia="bs-Latn-BA"/>
        </w:rPr>
        <w:drawing>
          <wp:inline distT="114300" distB="114300" distL="114300" distR="114300">
            <wp:extent cx="5731200" cy="2730500"/>
            <wp:effectExtent l="0" t="0" r="0" b="0"/>
            <wp:docPr id="205632527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7"/>
                    <a:srcRect/>
                    <a:stretch>
                      <a:fillRect/>
                    </a:stretch>
                  </pic:blipFill>
                  <pic:spPr>
                    <a:xfrm>
                      <a:off x="0" y="0"/>
                      <a:ext cx="5731200" cy="2730500"/>
                    </a:xfrm>
                    <a:prstGeom prst="rect">
                      <a:avLst/>
                    </a:prstGeom>
                    <a:ln/>
                  </pic:spPr>
                </pic:pic>
              </a:graphicData>
            </a:graphic>
          </wp:inline>
        </w:drawing>
      </w:r>
      <w:r w:rsidR="00E257D2" w:rsidRPr="00033459">
        <w:rPr>
          <w:rFonts w:ascii="Cambria" w:eastAsia="Times New Roman" w:hAnsi="Cambria" w:cs="Times New Roman"/>
          <w:b/>
          <w:i/>
          <w:lang w:val="bs-Latn-BA"/>
        </w:rPr>
        <w:t xml:space="preserve"> </w:t>
      </w:r>
    </w:p>
    <w:p w:rsidR="00E0089A" w:rsidRDefault="00E0089A" w:rsidP="002F596A">
      <w:pPr>
        <w:widowControl w:val="0"/>
        <w:tabs>
          <w:tab w:val="left" w:pos="5103"/>
        </w:tabs>
        <w:spacing w:line="276" w:lineRule="auto"/>
        <w:jc w:val="both"/>
        <w:rPr>
          <w:rFonts w:ascii="Cambria" w:eastAsia="Times New Roman" w:hAnsi="Cambria" w:cs="Times New Roman"/>
          <w:b/>
          <w:i/>
          <w:lang w:val="bs-Latn-BA"/>
        </w:rPr>
      </w:pPr>
    </w:p>
    <w:p w:rsidR="00993B1F" w:rsidRPr="00033459" w:rsidRDefault="00942562" w:rsidP="002F596A">
      <w:pPr>
        <w:widowControl w:val="0"/>
        <w:tabs>
          <w:tab w:val="left" w:pos="5103"/>
        </w:tabs>
        <w:spacing w:line="276" w:lineRule="auto"/>
        <w:jc w:val="both"/>
        <w:rPr>
          <w:rFonts w:ascii="Cambria" w:eastAsia="Times New Roman" w:hAnsi="Cambria" w:cs="Times New Roman"/>
          <w:lang w:val="bs-Latn-BA"/>
        </w:rPr>
      </w:pPr>
      <w:r w:rsidRPr="00033459">
        <w:rPr>
          <w:rFonts w:ascii="Cambria" w:eastAsia="Times New Roman" w:hAnsi="Cambria" w:cs="Times New Roman"/>
          <w:b/>
          <w:i/>
          <w:lang w:val="bs-Latn-BA"/>
        </w:rPr>
        <w:t>Grafikon 2: Nezaposleni po starosnoj dobi u 2024. godini</w:t>
      </w:r>
    </w:p>
    <w:p w:rsidR="00993B1F" w:rsidRPr="00033459" w:rsidRDefault="00942562" w:rsidP="002F596A">
      <w:pPr>
        <w:widowControl w:val="0"/>
        <w:tabs>
          <w:tab w:val="left" w:pos="5103"/>
        </w:tabs>
        <w:spacing w:line="276" w:lineRule="auto"/>
        <w:jc w:val="both"/>
        <w:rPr>
          <w:rFonts w:ascii="Cambria" w:eastAsia="Times New Roman" w:hAnsi="Cambria" w:cs="Times New Roman"/>
          <w:lang w:val="bs-Latn-BA"/>
        </w:rPr>
      </w:pPr>
      <w:r w:rsidRPr="00033459">
        <w:rPr>
          <w:rFonts w:ascii="Cambria" w:eastAsia="Times New Roman" w:hAnsi="Cambria" w:cs="Times New Roman"/>
          <w:noProof/>
          <w:lang w:val="bs-Latn-BA" w:eastAsia="bs-Latn-BA"/>
        </w:rPr>
        <w:drawing>
          <wp:inline distT="114300" distB="114300" distL="114300" distR="114300">
            <wp:extent cx="5731200" cy="2794000"/>
            <wp:effectExtent l="0" t="0" r="0" b="0"/>
            <wp:docPr id="205632527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8"/>
                    <a:srcRect/>
                    <a:stretch>
                      <a:fillRect/>
                    </a:stretch>
                  </pic:blipFill>
                  <pic:spPr>
                    <a:xfrm>
                      <a:off x="0" y="0"/>
                      <a:ext cx="5731200" cy="2794000"/>
                    </a:xfrm>
                    <a:prstGeom prst="rect">
                      <a:avLst/>
                    </a:prstGeom>
                    <a:ln/>
                  </pic:spPr>
                </pic:pic>
              </a:graphicData>
            </a:graphic>
          </wp:inline>
        </w:drawing>
      </w:r>
    </w:p>
    <w:p w:rsidR="00E0089A" w:rsidRDefault="00E0089A" w:rsidP="002F596A">
      <w:pPr>
        <w:widowControl w:val="0"/>
        <w:tabs>
          <w:tab w:val="left" w:pos="5103"/>
        </w:tabs>
        <w:spacing w:line="276" w:lineRule="auto"/>
        <w:jc w:val="both"/>
        <w:rPr>
          <w:rFonts w:ascii="Cambria" w:eastAsia="Times New Roman" w:hAnsi="Cambria" w:cs="Times New Roman"/>
          <w:lang w:val="bs-Latn-BA"/>
        </w:rPr>
      </w:pPr>
    </w:p>
    <w:p w:rsidR="00993B1F" w:rsidRPr="00033459" w:rsidRDefault="00942562" w:rsidP="002F596A">
      <w:pPr>
        <w:widowControl w:val="0"/>
        <w:tabs>
          <w:tab w:val="left" w:pos="5103"/>
        </w:tabs>
        <w:spacing w:line="276" w:lineRule="auto"/>
        <w:jc w:val="both"/>
        <w:rPr>
          <w:rFonts w:ascii="Cambria" w:eastAsia="Times New Roman" w:hAnsi="Cambria" w:cs="Times New Roman"/>
          <w:lang w:val="bs-Latn-BA"/>
        </w:rPr>
      </w:pPr>
      <w:r w:rsidRPr="00033459">
        <w:rPr>
          <w:rFonts w:ascii="Cambria" w:eastAsia="Times New Roman" w:hAnsi="Cambria" w:cs="Times New Roman"/>
          <w:lang w:val="bs-Latn-BA"/>
        </w:rPr>
        <w:t>U pogledu nezaposlenosti po starosnoj dobi u 2024. godini prema statističkim podacima</w:t>
      </w:r>
      <w:r w:rsidR="00E257D2" w:rsidRPr="00033459">
        <w:rPr>
          <w:rFonts w:ascii="Cambria" w:eastAsia="Times New Roman" w:hAnsi="Cambria" w:cs="Times New Roman"/>
          <w:lang w:val="bs-Latn-BA"/>
        </w:rPr>
        <w:t xml:space="preserve"> </w:t>
      </w:r>
      <w:r w:rsidRPr="00033459">
        <w:rPr>
          <w:rFonts w:ascii="Cambria" w:eastAsia="Times New Roman" w:hAnsi="Cambria" w:cs="Times New Roman"/>
          <w:lang w:val="bs-Latn-BA"/>
        </w:rPr>
        <w:t>JU Služba za zapošljavanje TK Tuzla, najviše nezaposlenih po starosnoj strukturi žena je između 30-34. godine dok kod muškaraca nezaposlenost po starosnoj dobi je između 60 i više godina.</w:t>
      </w:r>
    </w:p>
    <w:p w:rsidR="00E0089A" w:rsidRDefault="00E0089A" w:rsidP="002F596A">
      <w:pPr>
        <w:widowControl w:val="0"/>
        <w:tabs>
          <w:tab w:val="left" w:pos="5103"/>
        </w:tabs>
        <w:spacing w:line="276" w:lineRule="auto"/>
        <w:jc w:val="both"/>
        <w:rPr>
          <w:rFonts w:ascii="Cambria" w:eastAsia="Times New Roman" w:hAnsi="Cambria" w:cs="Times New Roman"/>
          <w:b/>
          <w:i/>
          <w:lang w:val="bs-Latn-BA"/>
        </w:rPr>
      </w:pPr>
    </w:p>
    <w:p w:rsidR="00E0089A" w:rsidRDefault="00E0089A" w:rsidP="002F596A">
      <w:pPr>
        <w:widowControl w:val="0"/>
        <w:tabs>
          <w:tab w:val="left" w:pos="5103"/>
        </w:tabs>
        <w:spacing w:line="276" w:lineRule="auto"/>
        <w:jc w:val="both"/>
        <w:rPr>
          <w:rFonts w:ascii="Cambria" w:eastAsia="Times New Roman" w:hAnsi="Cambria" w:cs="Times New Roman"/>
          <w:b/>
          <w:i/>
          <w:lang w:val="bs-Latn-BA"/>
        </w:rPr>
      </w:pPr>
    </w:p>
    <w:p w:rsidR="00E0089A" w:rsidRDefault="00E0089A" w:rsidP="002F596A">
      <w:pPr>
        <w:widowControl w:val="0"/>
        <w:tabs>
          <w:tab w:val="left" w:pos="5103"/>
        </w:tabs>
        <w:spacing w:line="276" w:lineRule="auto"/>
        <w:jc w:val="both"/>
        <w:rPr>
          <w:rFonts w:ascii="Cambria" w:eastAsia="Times New Roman" w:hAnsi="Cambria" w:cs="Times New Roman"/>
          <w:b/>
          <w:i/>
          <w:lang w:val="bs-Latn-BA"/>
        </w:rPr>
      </w:pPr>
    </w:p>
    <w:p w:rsidR="00E0089A" w:rsidRDefault="00E0089A" w:rsidP="002F596A">
      <w:pPr>
        <w:widowControl w:val="0"/>
        <w:tabs>
          <w:tab w:val="left" w:pos="5103"/>
        </w:tabs>
        <w:spacing w:line="276" w:lineRule="auto"/>
        <w:jc w:val="both"/>
        <w:rPr>
          <w:rFonts w:ascii="Cambria" w:eastAsia="Times New Roman" w:hAnsi="Cambria" w:cs="Times New Roman"/>
          <w:b/>
          <w:i/>
          <w:lang w:val="bs-Latn-BA"/>
        </w:rPr>
      </w:pPr>
    </w:p>
    <w:p w:rsidR="00993B1F" w:rsidRPr="00033459" w:rsidRDefault="00942562" w:rsidP="002F596A">
      <w:pPr>
        <w:widowControl w:val="0"/>
        <w:tabs>
          <w:tab w:val="left" w:pos="5103"/>
        </w:tabs>
        <w:spacing w:line="276" w:lineRule="auto"/>
        <w:jc w:val="both"/>
        <w:rPr>
          <w:rFonts w:ascii="Cambria" w:eastAsia="Times New Roman" w:hAnsi="Cambria" w:cs="Times New Roman"/>
          <w:b/>
          <w:i/>
          <w:lang w:val="bs-Latn-BA"/>
        </w:rPr>
      </w:pPr>
      <w:r w:rsidRPr="00033459">
        <w:rPr>
          <w:rFonts w:ascii="Cambria" w:eastAsia="Times New Roman" w:hAnsi="Cambria" w:cs="Times New Roman"/>
          <w:b/>
          <w:i/>
          <w:lang w:val="bs-Latn-BA"/>
        </w:rPr>
        <w:lastRenderedPageBreak/>
        <w:t>Grafikon 3: Nezaposleni po općinama i spolu u 2024. godini</w:t>
      </w:r>
    </w:p>
    <w:p w:rsidR="00993B1F" w:rsidRPr="00033459" w:rsidRDefault="00942562" w:rsidP="002F596A">
      <w:pPr>
        <w:widowControl w:val="0"/>
        <w:tabs>
          <w:tab w:val="left" w:pos="5103"/>
        </w:tabs>
        <w:spacing w:line="276" w:lineRule="auto"/>
        <w:jc w:val="both"/>
        <w:rPr>
          <w:rFonts w:ascii="Cambria" w:eastAsia="Times New Roman" w:hAnsi="Cambria" w:cs="Times New Roman"/>
          <w:lang w:val="bs-Latn-BA"/>
        </w:rPr>
      </w:pPr>
      <w:r w:rsidRPr="00033459">
        <w:rPr>
          <w:rFonts w:ascii="Cambria" w:eastAsia="Times New Roman" w:hAnsi="Cambria" w:cs="Times New Roman"/>
          <w:noProof/>
          <w:lang w:val="bs-Latn-BA" w:eastAsia="bs-Latn-BA"/>
        </w:rPr>
        <w:drawing>
          <wp:inline distT="114300" distB="114300" distL="114300" distR="114300">
            <wp:extent cx="5734050" cy="2576401"/>
            <wp:effectExtent l="0" t="0" r="0" b="0"/>
            <wp:docPr id="205632527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9"/>
                    <a:srcRect/>
                    <a:stretch>
                      <a:fillRect/>
                    </a:stretch>
                  </pic:blipFill>
                  <pic:spPr>
                    <a:xfrm>
                      <a:off x="0" y="0"/>
                      <a:ext cx="5734050" cy="2576401"/>
                    </a:xfrm>
                    <a:prstGeom prst="rect">
                      <a:avLst/>
                    </a:prstGeom>
                    <a:ln/>
                  </pic:spPr>
                </pic:pic>
              </a:graphicData>
            </a:graphic>
          </wp:inline>
        </w:drawing>
      </w:r>
      <w:r w:rsidRPr="00033459">
        <w:rPr>
          <w:rFonts w:ascii="Cambria" w:eastAsia="Times New Roman" w:hAnsi="Cambria" w:cs="Times New Roman"/>
          <w:lang w:val="bs-Latn-BA"/>
        </w:rPr>
        <w:t xml:space="preserve"> </w:t>
      </w:r>
    </w:p>
    <w:p w:rsidR="00993B1F" w:rsidRPr="00033459" w:rsidRDefault="00942562" w:rsidP="002F596A">
      <w:pPr>
        <w:widowControl w:val="0"/>
        <w:tabs>
          <w:tab w:val="left" w:pos="5103"/>
        </w:tabs>
        <w:spacing w:line="276" w:lineRule="auto"/>
        <w:jc w:val="both"/>
        <w:rPr>
          <w:rFonts w:ascii="Cambria" w:eastAsia="Times New Roman" w:hAnsi="Cambria" w:cs="Times New Roman"/>
          <w:lang w:val="bs-Latn-BA"/>
        </w:rPr>
      </w:pPr>
      <w:r w:rsidRPr="00033459">
        <w:rPr>
          <w:rFonts w:ascii="Cambria" w:eastAsia="Times New Roman" w:hAnsi="Cambria" w:cs="Times New Roman"/>
          <w:lang w:val="bs-Latn-BA"/>
        </w:rPr>
        <w:t>U pogledu nezaposlenosti po općinama i spolu u 2024. godini prema statističkim podacima JU Služba za zapošljavanje TK Tuzla najveća nezaposlenost žena je na Birou Banovići dok u Birou Čelić najviše je nezaposlenih muškaraca.</w:t>
      </w:r>
    </w:p>
    <w:p w:rsidR="00993B1F" w:rsidRPr="00033459" w:rsidRDefault="00942562" w:rsidP="002F596A">
      <w:pPr>
        <w:widowControl w:val="0"/>
        <w:tabs>
          <w:tab w:val="left" w:pos="5103"/>
        </w:tabs>
        <w:spacing w:line="276" w:lineRule="auto"/>
        <w:jc w:val="both"/>
        <w:rPr>
          <w:rFonts w:ascii="Cambria" w:eastAsia="Times New Roman" w:hAnsi="Cambria" w:cs="Times New Roman"/>
          <w:lang w:val="bs-Latn-BA"/>
        </w:rPr>
      </w:pPr>
      <w:r w:rsidRPr="00033459">
        <w:rPr>
          <w:rFonts w:ascii="Cambria" w:eastAsia="Times New Roman" w:hAnsi="Cambria" w:cs="Times New Roman"/>
          <w:b/>
          <w:i/>
          <w:lang w:val="bs-Latn-BA"/>
        </w:rPr>
        <w:t xml:space="preserve"> Grafikon 4: Nezaposlene osobe po stepenu stručnog obrazovanja i spolu u 2024. godini</w:t>
      </w:r>
    </w:p>
    <w:p w:rsidR="00993B1F" w:rsidRPr="00033459" w:rsidRDefault="00942562" w:rsidP="002F596A">
      <w:pPr>
        <w:widowControl w:val="0"/>
        <w:tabs>
          <w:tab w:val="left" w:pos="5103"/>
        </w:tabs>
        <w:spacing w:line="276" w:lineRule="auto"/>
        <w:jc w:val="both"/>
        <w:rPr>
          <w:rFonts w:ascii="Cambria" w:eastAsia="Times New Roman" w:hAnsi="Cambria" w:cs="Times New Roman"/>
          <w:lang w:val="bs-Latn-BA"/>
        </w:rPr>
      </w:pPr>
      <w:r w:rsidRPr="00033459">
        <w:rPr>
          <w:rFonts w:ascii="Cambria" w:eastAsia="Times New Roman" w:hAnsi="Cambria" w:cs="Times New Roman"/>
          <w:noProof/>
          <w:lang w:val="bs-Latn-BA" w:eastAsia="bs-Latn-BA"/>
        </w:rPr>
        <w:drawing>
          <wp:inline distT="114300" distB="114300" distL="114300" distR="114300">
            <wp:extent cx="5731200" cy="3187700"/>
            <wp:effectExtent l="0" t="0" r="0" b="0"/>
            <wp:docPr id="205632527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0"/>
                    <a:srcRect/>
                    <a:stretch>
                      <a:fillRect/>
                    </a:stretch>
                  </pic:blipFill>
                  <pic:spPr>
                    <a:xfrm>
                      <a:off x="0" y="0"/>
                      <a:ext cx="5731200" cy="3187700"/>
                    </a:xfrm>
                    <a:prstGeom prst="rect">
                      <a:avLst/>
                    </a:prstGeom>
                    <a:ln/>
                  </pic:spPr>
                </pic:pic>
              </a:graphicData>
            </a:graphic>
          </wp:inline>
        </w:drawing>
      </w:r>
    </w:p>
    <w:p w:rsidR="00744078" w:rsidRPr="00033459" w:rsidRDefault="00942562" w:rsidP="00E542BE">
      <w:pPr>
        <w:widowControl w:val="0"/>
        <w:tabs>
          <w:tab w:val="left" w:pos="5103"/>
        </w:tabs>
        <w:spacing w:line="276" w:lineRule="auto"/>
        <w:jc w:val="both"/>
        <w:rPr>
          <w:rFonts w:ascii="Cambria" w:eastAsia="Times New Roman" w:hAnsi="Cambria" w:cs="Times New Roman"/>
          <w:lang w:val="bs-Latn-BA"/>
        </w:rPr>
      </w:pPr>
      <w:r w:rsidRPr="00033459">
        <w:rPr>
          <w:rFonts w:ascii="Cambria" w:eastAsia="Times New Roman" w:hAnsi="Cambria" w:cs="Times New Roman"/>
          <w:lang w:val="bs-Latn-BA"/>
        </w:rPr>
        <w:t>U pogledu stručne spreme, najviše nezaposlenih je nekvalifikovanih osoba, njih 20.840.</w:t>
      </w:r>
      <w:r w:rsidR="00E257D2" w:rsidRPr="00033459">
        <w:rPr>
          <w:rFonts w:ascii="Cambria" w:eastAsia="Times New Roman" w:hAnsi="Cambria" w:cs="Times New Roman"/>
          <w:lang w:val="bs-Latn-BA"/>
        </w:rPr>
        <w:t xml:space="preserve"> </w:t>
      </w:r>
      <w:r w:rsidRPr="00033459">
        <w:rPr>
          <w:rFonts w:ascii="Cambria" w:eastAsia="Times New Roman" w:hAnsi="Cambria" w:cs="Times New Roman"/>
          <w:lang w:val="bs-Latn-BA"/>
        </w:rPr>
        <w:t>Ako poredimo spolnu strukturu najviše nezaposlenih žena ja sa NKV i to 13.657 dok najveća nezaposlenost muškaraca po stručnoj spremi je KV i to 8.239.</w:t>
      </w:r>
    </w:p>
    <w:p w:rsidR="00744078" w:rsidRPr="00033459" w:rsidRDefault="00744078" w:rsidP="002F596A">
      <w:pPr>
        <w:jc w:val="both"/>
        <w:rPr>
          <w:rFonts w:ascii="Cambria" w:eastAsia="Times New Roman" w:hAnsi="Cambria" w:cs="Times New Roman"/>
          <w:lang w:val="bs-Latn-BA"/>
        </w:rPr>
      </w:pPr>
      <w:r w:rsidRPr="00033459">
        <w:rPr>
          <w:rFonts w:ascii="Cambria" w:eastAsia="Times New Roman" w:hAnsi="Cambria" w:cs="Times New Roman"/>
          <w:lang w:val="bs-Latn-BA"/>
        </w:rPr>
        <w:t xml:space="preserve">U izvještajnom periodu prava iz oblasti zaštite porodice sa djecom realizovana su u skladu sa važećim zakonodavnim okvirom, i to: Zakonom o osnovama socijalne zaštite, zaštite civilnih žrtava rata i zaštite porodice sa djecom Federacije Bosne i Hercegovine („Službene novine Federacije BiH“, broj: 36/99, 54/04, 39/06, 14/09 i 17/11), Zakonom o materijalnoj podršci porodicama s djecom u Federaciji Bosne i Hercegovine („Službene novine Federacije BiH“, broj: </w:t>
      </w:r>
      <w:r w:rsidRPr="00033459">
        <w:rPr>
          <w:rFonts w:ascii="Cambria" w:eastAsia="Times New Roman" w:hAnsi="Cambria" w:cs="Times New Roman"/>
          <w:lang w:val="bs-Latn-BA"/>
        </w:rPr>
        <w:lastRenderedPageBreak/>
        <w:t>52/22), kao i Zakonom o socijalnoj zaštiti, zaštiti civilnih žrtava rata i zaštiti porodice sa djecom – prečišćeni tekst („Službene novine Tuzlanskog kantona“, broj: 5/12, 7/14, 11/15, 13/16, 4/18, 12/20, 22/21, 5/22, 8/22, 10/22, 14/22, 19/22 i 12/23), te drugim prečišćenim tekstom istog zakona („Službene novine Tuzlanskog kantona“, broj: 18/23).</w:t>
      </w:r>
    </w:p>
    <w:p w:rsidR="00744078" w:rsidRPr="00033459" w:rsidRDefault="00744078" w:rsidP="002F596A">
      <w:pPr>
        <w:jc w:val="both"/>
        <w:rPr>
          <w:rFonts w:ascii="Cambria" w:eastAsia="Times New Roman" w:hAnsi="Cambria" w:cs="Times New Roman"/>
          <w:lang w:val="bs-Latn-BA"/>
        </w:rPr>
      </w:pPr>
      <w:r w:rsidRPr="00033459">
        <w:rPr>
          <w:rFonts w:ascii="Cambria" w:eastAsia="Times New Roman" w:hAnsi="Cambria" w:cs="Times New Roman"/>
          <w:lang w:val="bs-Latn-BA"/>
        </w:rPr>
        <w:t>U skladu sa pomenutim propisima, tokom izvještajnog perioda u Tuzlanskom kantonu realizovana su prava iz oblasti zaštite porodice sa djecom koja se odnose na novčana davanja, i to: dodatak na djecu; naknada umjesto plaće ženi-majci, odnosno drugom zaposlenom licu za vrijeme odsustva s posla zbog trudnoće, porođaja i njege djeteta, kao i dodatna novčana pomoć zaposlenoj majci porodilji; novčana pomoć i dodatna novčana pomoć nezaposlenoj majci porodilji; osiguranje jednog obroka u vrijeme nastave u osnovnim školama; pravo na subvencioniranje dijela troškova boravka djece u predškolskim ustanovama; jednokratna novčana pomoć za roditelje sa troje i više djece; te pravo na subvenciju troškova prijevoza.</w:t>
      </w:r>
    </w:p>
    <w:p w:rsidR="00744078" w:rsidRPr="00033459" w:rsidRDefault="00744078" w:rsidP="002F596A">
      <w:pPr>
        <w:jc w:val="both"/>
        <w:rPr>
          <w:rFonts w:ascii="Cambria" w:eastAsia="Times New Roman" w:hAnsi="Cambria" w:cs="Times New Roman"/>
          <w:lang w:val="bs-Latn-BA"/>
        </w:rPr>
      </w:pPr>
      <w:r w:rsidRPr="00033459">
        <w:rPr>
          <w:rFonts w:ascii="Cambria" w:eastAsia="Times New Roman" w:hAnsi="Cambria" w:cs="Times New Roman"/>
          <w:lang w:val="bs-Latn-BA"/>
        </w:rPr>
        <w:t>U toku godine uvedena su i dva nova prava: novčana pomoć licima sa smetnjama u fizičkom ili psihičkom razvoju, te novčana pomoć za djecu oboljelu od celijakije, TBC, leukemije, karcinoma i šećerne bolesti.</w:t>
      </w:r>
    </w:p>
    <w:p w:rsidR="00744078" w:rsidRPr="00033459" w:rsidRDefault="00744078" w:rsidP="002F596A">
      <w:pPr>
        <w:jc w:val="both"/>
        <w:rPr>
          <w:rFonts w:ascii="Cambria" w:eastAsia="Times New Roman" w:hAnsi="Cambria" w:cs="Times New Roman"/>
          <w:lang w:val="bs-Latn-BA"/>
        </w:rPr>
      </w:pPr>
      <w:r w:rsidRPr="00033459">
        <w:rPr>
          <w:rFonts w:ascii="Cambria" w:eastAsia="Times New Roman" w:hAnsi="Cambria" w:cs="Times New Roman"/>
          <w:lang w:val="bs-Latn-BA"/>
        </w:rPr>
        <w:t>Komparativnom analizom podataka u periodu 2021–2024. godina utvrđen je kontinuiran porast broja korisnika i iznosa isplaćenih sredstava na ime navedenih prava. Posebno se ističe primjena Zakona o materijalnoj podršci porodicama s djecom u Federaciji Bosne i Hercegovine („Službene novine Federacije BiH“, broj: 52/22), kojim je propisano pravo na novčanu pomoć nezaposlenim majkama porodiljama. Pravo se ostvaruje pod uslovom da porodilja nije u radnom odnosu i nije evidentirana kod porezne uprave kao zaposlena. Visina novčane pomoći utvrđuje se u iznosu od 55% najniže plaće u Federaciji BiH, koja je u 2022. godini iznosila 298,65 KM.</w:t>
      </w:r>
    </w:p>
    <w:p w:rsidR="00744078" w:rsidRPr="00033459" w:rsidRDefault="00744078" w:rsidP="002F596A">
      <w:pPr>
        <w:jc w:val="both"/>
        <w:rPr>
          <w:rFonts w:ascii="Cambria" w:eastAsia="Times New Roman" w:hAnsi="Cambria" w:cs="Times New Roman"/>
          <w:lang w:val="bs-Latn-BA"/>
        </w:rPr>
      </w:pPr>
      <w:r w:rsidRPr="00033459">
        <w:rPr>
          <w:rFonts w:ascii="Cambria" w:eastAsia="Times New Roman" w:hAnsi="Cambria" w:cs="Times New Roman"/>
          <w:lang w:val="bs-Latn-BA"/>
        </w:rPr>
        <w:t>Zakonom o izmjenama i dopunama Zakona o socijalnoj zaštiti („Službene novine TK“, broj: 5/22), koji je stupio na snagu 1. aprila 2022. godine, uvedeno je i pravo na dodatnu novčanu pomoć nezaposlenoj majci porodilji. U skladu s odlukama Vlade TK, dodatna novčana pomoć se u periodu od 1. aprila do 9. oktobra 2022. godine isplaćivala u iznosu od 996,00 KM mjesečno, dok je od 9. oktobra do 31. decembra 2022. godine taj iznos iznosio 697,35 KM mjesečno, što predstavlja razliku između osnovne pomoći (298,65 KM) i prosječne plaće u FBiH za prethodnu godinu (996,00 KM).</w:t>
      </w:r>
    </w:p>
    <w:p w:rsidR="00744078" w:rsidRPr="00033459" w:rsidRDefault="00744078" w:rsidP="002F596A">
      <w:pPr>
        <w:jc w:val="both"/>
        <w:rPr>
          <w:rFonts w:ascii="Cambria" w:eastAsia="Times New Roman" w:hAnsi="Cambria" w:cs="Times New Roman"/>
          <w:lang w:val="bs-Latn-BA"/>
        </w:rPr>
      </w:pPr>
      <w:r w:rsidRPr="00033459">
        <w:rPr>
          <w:rFonts w:ascii="Cambria" w:eastAsia="Times New Roman" w:hAnsi="Cambria" w:cs="Times New Roman"/>
          <w:lang w:val="bs-Latn-BA"/>
        </w:rPr>
        <w:t>U 2022. godini pravo na novčanu pomoć i dodatnu novčanu pomoć ostvarilo je 810 korisnika, a isplaćeno je ukupno 5.999.650,60 KM. U 2023. godini osnovna novčana pomoć za nezaposlene porodilje iznosila je 327,80 KM. Pravo je ostvarilo 3.483 korisnica, a isplaćeno je 8.905.174,02 KM. Dodatna pomoć u 2023. godini iznosila je 668,20 KM, a isplaćena je u ukupnom iznosu od 16.169.302,27 KM. U 2024. godini pravo je ostvarilo 3.841 korisnica, pri čemu je na ime osnovne pomoći isplaćeno 9.105.174 KM, a na ime dodatne pomoći 16.235.694,85 KM. Ukupan iznos sredstava izdvojen za ovu namjenu od 2022. do 2024. godine iznosi 71.809.998,00 KM.</w:t>
      </w:r>
    </w:p>
    <w:p w:rsidR="00993B1F" w:rsidRDefault="00744078" w:rsidP="002F596A">
      <w:pPr>
        <w:jc w:val="both"/>
        <w:rPr>
          <w:rFonts w:ascii="Cambria" w:eastAsia="Times New Roman" w:hAnsi="Cambria" w:cs="Times New Roman"/>
          <w:lang w:val="bs-Latn-BA"/>
        </w:rPr>
      </w:pPr>
      <w:r w:rsidRPr="00033459">
        <w:rPr>
          <w:rFonts w:ascii="Cambria" w:eastAsia="Times New Roman" w:hAnsi="Cambria" w:cs="Times New Roman"/>
          <w:lang w:val="bs-Latn-BA"/>
        </w:rPr>
        <w:t>U 2024. godini, Ministarstvo za kulturu, sport i mlade Tuzlanskog kantona raspisalo je Javni poziv za podršku mladima kroz subvencioniranje troškova za smještaj i boravak djece u predškolskim ustanovama. Na osnovu ovog javnog poziva, dodijeljena su sredstva u ukupnom iznosu od 189.000,00 KM.</w:t>
      </w:r>
    </w:p>
    <w:p w:rsidR="00E542BE" w:rsidRPr="00033459" w:rsidRDefault="00E542BE" w:rsidP="002F596A">
      <w:pPr>
        <w:jc w:val="both"/>
        <w:rPr>
          <w:rFonts w:ascii="Cambria" w:eastAsia="Times New Roman" w:hAnsi="Cambria" w:cs="Times New Roman"/>
          <w:lang w:val="bs-Latn-BA"/>
        </w:rPr>
      </w:pPr>
    </w:p>
    <w:p w:rsidR="00993B1F" w:rsidRPr="00033459" w:rsidRDefault="00942562" w:rsidP="002F596A">
      <w:pPr>
        <w:pStyle w:val="Heading2"/>
      </w:pPr>
      <w:bookmarkStart w:id="21" w:name="_Toc195186409"/>
      <w:r w:rsidRPr="00033459">
        <w:t>2.3. Prevencija i zaštita od nasilja u porodici i nasilja na osnovu spola</w:t>
      </w:r>
      <w:bookmarkEnd w:id="21"/>
    </w:p>
    <w:p w:rsidR="00993B1F" w:rsidRPr="00033459" w:rsidRDefault="00942562" w:rsidP="002F596A">
      <w:pPr>
        <w:spacing w:line="240" w:lineRule="auto"/>
        <w:jc w:val="both"/>
        <w:rPr>
          <w:rFonts w:ascii="Cambria" w:eastAsia="Times New Roman" w:hAnsi="Cambria" w:cs="Times New Roman"/>
          <w:lang w:val="bs-Latn-BA"/>
        </w:rPr>
      </w:pPr>
      <w:r w:rsidRPr="00033459">
        <w:rPr>
          <w:rFonts w:ascii="Cambria" w:eastAsia="Times New Roman" w:hAnsi="Cambria" w:cs="Times New Roman"/>
          <w:lang w:val="bs-Latn-BA"/>
        </w:rPr>
        <w:t xml:space="preserve">Nasilje nad ženama i nasilje u porodici, kao jedan od najvećih izazova bosanskohercegovačkog društva, problem je koji je odnedavno izašao iz privatne u javnu sferu. Ipak nasilje nad ženama i nasilje u porodici je i dalje jedan od najtežih kršenja prava žena. Prema Istraživanje o dobrobiti i </w:t>
      </w:r>
      <w:r w:rsidRPr="00033459">
        <w:rPr>
          <w:rFonts w:ascii="Cambria" w:eastAsia="Times New Roman" w:hAnsi="Cambria" w:cs="Times New Roman"/>
          <w:lang w:val="bs-Latn-BA"/>
        </w:rPr>
        <w:lastRenderedPageBreak/>
        <w:t xml:space="preserve">sigurnosti žena – rezultati za Bosnu i Hercegovinu pokazuje da je nasilje nad ženama rasprostranjeno u svim svojim oblicima, fizičko, psihičko, ekonomsko i socijalno. Tek malo manje od polovine žena u BiH (48%) iskusilo je neki oblik nasilja, uključujući i nasilje od strane intimnog partnera, nepartnera, uhođenje ili seksualno uznemiravanje, od svoje petnaeste godine. Preciznije rečeno, skoro četiri od deset žena (38%) izjavilo je da su iskusile psihičko, fizičko ili seksualno nasilje od petnaeste godine od strane partnera ili nepartnera. Jedna od sedam žena (14%) kaže da je iskusila psihičko ili seksualno nasilje od petnaeste godine od strane partnera ili nepartnera. </w:t>
      </w:r>
    </w:p>
    <w:p w:rsidR="00993B1F" w:rsidRPr="00033459" w:rsidRDefault="00942562" w:rsidP="002F596A">
      <w:pPr>
        <w:spacing w:line="240" w:lineRule="auto"/>
        <w:jc w:val="both"/>
        <w:rPr>
          <w:rFonts w:ascii="Cambria" w:eastAsia="Times New Roman" w:hAnsi="Cambria" w:cs="Times New Roman"/>
          <w:lang w:val="bs-Latn-BA"/>
        </w:rPr>
      </w:pPr>
      <w:r w:rsidRPr="00033459">
        <w:rPr>
          <w:rFonts w:ascii="Cambria" w:eastAsia="Times New Roman" w:hAnsi="Cambria" w:cs="Times New Roman"/>
          <w:lang w:val="bs-Latn-BA"/>
        </w:rPr>
        <w:t xml:space="preserve">U smislu počinilaca, broj prijavljenih slučajeva je najviši kada je u pitanju nasilje od strane bivšeg partnera, pri čemu 11% žena koje su imale bivšeg partnera kaže da je iskusilo jedan ili više oblika ovakvog nasilja, u poređenju sa 6% žena koje kažu da su iskusile fizičko ili seksualno nasilje od strane trenutnog partnera, i 8% svih žena koje kažu da su iskusile nasilje od strane nepartnera. </w:t>
      </w:r>
    </w:p>
    <w:p w:rsidR="002F596A" w:rsidRPr="00033459" w:rsidRDefault="00942562" w:rsidP="002F596A">
      <w:pPr>
        <w:spacing w:line="240" w:lineRule="auto"/>
        <w:jc w:val="both"/>
        <w:rPr>
          <w:rFonts w:ascii="Cambria" w:eastAsia="Times New Roman" w:hAnsi="Cambria" w:cs="Times New Roman"/>
          <w:lang w:val="bs-Latn-BA"/>
        </w:rPr>
      </w:pPr>
      <w:r w:rsidRPr="00033459">
        <w:rPr>
          <w:rFonts w:ascii="Cambria" w:eastAsia="Times New Roman" w:hAnsi="Cambria" w:cs="Times New Roman"/>
          <w:lang w:val="bs-Latn-BA"/>
        </w:rPr>
        <w:t xml:space="preserve">Ove brojke su iste u oba entiteta. Od petnaeste godine života, 28% žena navodi da su iskusile seksualno uznemiravanje, dok je 10% žena doživjelo seksualno uznemiravanje u periodu od 12 mjeseci prije istraživanja. Uhođenje je iskusila jedna od dvadeset ispitanih žena (5% u oba entiteta). </w:t>
      </w:r>
    </w:p>
    <w:p w:rsidR="002F596A" w:rsidRPr="00033459" w:rsidRDefault="002F596A" w:rsidP="002F596A">
      <w:pPr>
        <w:spacing w:line="240" w:lineRule="auto"/>
        <w:jc w:val="both"/>
        <w:rPr>
          <w:rFonts w:ascii="Cambria" w:eastAsia="Times New Roman" w:hAnsi="Cambria" w:cs="Times New Roman"/>
          <w:lang w:val="bs-Latn-BA"/>
        </w:rPr>
      </w:pPr>
      <w:r w:rsidRPr="00033459">
        <w:rPr>
          <w:rFonts w:ascii="Cambria" w:eastAsia="Times New Roman" w:hAnsi="Cambria" w:cs="Times New Roman"/>
          <w:lang w:val="bs-Latn-BA"/>
        </w:rPr>
        <w:t xml:space="preserve">Kada su u pitanju aktivnosti nadležnih institucija Vlade Tuzlanskog kantona, one su bile usmjerena u </w:t>
      </w:r>
      <w:r w:rsidR="00E542BE" w:rsidRPr="00033459">
        <w:rPr>
          <w:rFonts w:ascii="Cambria" w:eastAsia="Times New Roman" w:hAnsi="Cambria" w:cs="Times New Roman"/>
          <w:lang w:val="bs-Latn-BA"/>
        </w:rPr>
        <w:t>četiri</w:t>
      </w:r>
      <w:r w:rsidRPr="00033459">
        <w:rPr>
          <w:rFonts w:ascii="Cambria" w:eastAsia="Times New Roman" w:hAnsi="Cambria" w:cs="Times New Roman"/>
          <w:lang w:val="bs-Latn-BA"/>
        </w:rPr>
        <w:t xml:space="preserve"> pravca: prevencija, zaštita žrtava, gonjenje počinilaca i donošenje sveobuhvatnih strateških dokumenata. </w:t>
      </w:r>
    </w:p>
    <w:p w:rsidR="002F596A" w:rsidRPr="00033459" w:rsidRDefault="002F596A" w:rsidP="002F596A">
      <w:pPr>
        <w:spacing w:line="240" w:lineRule="auto"/>
        <w:jc w:val="both"/>
        <w:rPr>
          <w:rFonts w:ascii="Cambria" w:eastAsia="Times New Roman" w:hAnsi="Cambria" w:cs="Times New Roman"/>
          <w:lang w:val="bs-Latn-BA"/>
        </w:rPr>
      </w:pPr>
      <w:r w:rsidRPr="002F596A">
        <w:rPr>
          <w:rFonts w:ascii="Cambria" w:eastAsia="Times New Roman" w:hAnsi="Cambria" w:cs="Times New Roman"/>
          <w:lang w:val="bs-Latn-BA"/>
        </w:rPr>
        <w:t>Vlada Tuzlanskog kantona je odlukom broj: 02/1-31-13932/24 od 12.06.2024. usvojila Akcioni plan za prevenciju i borbu protiv nasilja u porodici u Tuzlanskom kantonu 2024-2025. godina. Akcioni plan je objavljen na web stranici Ministarstva za rad, socijalnu politiku i povratak Tuzlanskog kantona (</w:t>
      </w:r>
      <w:hyperlink r:id="rId21">
        <w:r w:rsidRPr="002F596A">
          <w:rPr>
            <w:rStyle w:val="Hyperlink"/>
            <w:rFonts w:ascii="Cambria" w:eastAsia="Times New Roman" w:hAnsi="Cambria" w:cs="Times New Roman"/>
            <w:color w:val="auto"/>
            <w:lang w:val="bs-Latn-BA"/>
          </w:rPr>
          <w:t>www.mrspptk.gov.ba</w:t>
        </w:r>
      </w:hyperlink>
      <w:r w:rsidRPr="002F596A">
        <w:rPr>
          <w:rFonts w:ascii="Cambria" w:eastAsia="Times New Roman" w:hAnsi="Cambria" w:cs="Times New Roman"/>
          <w:lang w:val="bs-Latn-BA"/>
        </w:rPr>
        <w:t>). Od dokumenata koji su važni za rodnu ravnopravnost na području kantona, Vlada TK je na sjednici održanoj 30.12.2021. godine donijela Odluku o usvajanju Protokola o postupanju u slučaju uznemiravanja na temelju spola i seksualnog uznemiravanja u organima javnog sektora Tuzlanskog kantona ( „Službene novine Tuzlanskog kantona“ broj: 1/22).</w:t>
      </w:r>
    </w:p>
    <w:p w:rsidR="002F596A" w:rsidRPr="00033459" w:rsidRDefault="002F596A" w:rsidP="002F596A">
      <w:pPr>
        <w:pStyle w:val="NormalWeb"/>
        <w:spacing w:before="0" w:beforeAutospacing="0" w:after="160" w:afterAutospacing="0"/>
        <w:jc w:val="both"/>
        <w:rPr>
          <w:rFonts w:ascii="Cambria" w:hAnsi="Cambria"/>
          <w:sz w:val="22"/>
          <w:szCs w:val="22"/>
          <w:lang w:val="bs-Latn-BA"/>
        </w:rPr>
      </w:pPr>
      <w:r w:rsidRPr="00033459">
        <w:rPr>
          <w:rFonts w:ascii="Cambria" w:hAnsi="Cambria"/>
          <w:sz w:val="22"/>
          <w:szCs w:val="22"/>
          <w:lang w:val="bs-Latn-BA"/>
        </w:rPr>
        <w:t>U okviru svojih aktivnosti, Koordinaciono tijelo za praćenje implementacije Gender akcionog plana Tuzlanskog kantona u saradnji sa Gender centrom Federacije BiH organizovalo je u septembru 2023. godine sastanak na kojem je razmatrana situacija u vezi s femicidima u Bosni i Hercegovini, s posebnim osvrtom na Tuzlanski kanton. U oktobru iste godine održan je i sastanak na temu implementacije kantonalnih Gender akcionih planova, na kojem su prisutni informisani o reviziji učinka u oblasti rodne ravnopravnosti i sprečavanja nasilja nad ženama, na osnovu izvještaja koji je dostavio Gender centar FBiH. U izvještajnom periodu predstavnici Koordinacionog tijela su također učestvovali na konferenciji „Multidisciplinarni pristup prevenciji i borbi protiv nasilja u porodici“, koja je održana u Sarajevu od 20. do 22. novembra 2023. godine, u organizaciji Gender centra FBiH u okviru implementacije projekta „Jačanje institucionalnih mehanizama za prevenciju, postupanje i zaštitu u slučajevima nasilja u porodici“, realizovanog u okviru programa UN Women.</w:t>
      </w:r>
    </w:p>
    <w:p w:rsidR="002F596A" w:rsidRPr="00033459" w:rsidRDefault="002F596A" w:rsidP="002F596A">
      <w:pPr>
        <w:pStyle w:val="NormalWeb"/>
        <w:jc w:val="both"/>
        <w:rPr>
          <w:rFonts w:ascii="Cambria" w:hAnsi="Cambria"/>
          <w:lang w:val="bs-Latn-BA"/>
        </w:rPr>
      </w:pPr>
      <w:r w:rsidRPr="002F596A">
        <w:rPr>
          <w:rFonts w:ascii="Cambria" w:hAnsi="Cambria"/>
          <w:lang w:val="bs-Latn-BA"/>
        </w:rPr>
        <w:t xml:space="preserve">U okviru implementacije Strategije za prevenciju, borbu i zaštitu od nasilja u porodici u FBiH provođena je kampanja tokom obilježavanja „16 dana aktivizma“, a zabilježen je povećan broj aktivnosti na lokalnim nivoima u svim kantonima. U okviru 16 dana aktivizma protiv rodno zasnovanog nasilja, nevladine organizacije sa područja Tuzlanskog kantona, uz institucionalnu podršku vladinog sektora održale su niz konferencija i ukazale na ovaj veliki društveni problem, koji sve više prijeti bosanskohercegovačkom društvu. </w:t>
      </w:r>
    </w:p>
    <w:p w:rsidR="002F596A" w:rsidRPr="00033459" w:rsidRDefault="002F596A" w:rsidP="002F596A">
      <w:pPr>
        <w:pStyle w:val="NormalWeb"/>
        <w:spacing w:before="0" w:beforeAutospacing="0" w:after="160" w:afterAutospacing="0"/>
        <w:jc w:val="both"/>
        <w:rPr>
          <w:rFonts w:ascii="Cambria" w:hAnsi="Cambria"/>
          <w:sz w:val="22"/>
          <w:szCs w:val="22"/>
          <w:lang w:val="bs-Latn-BA"/>
        </w:rPr>
      </w:pPr>
      <w:r w:rsidRPr="00033459">
        <w:rPr>
          <w:rFonts w:ascii="Cambria" w:hAnsi="Cambria"/>
          <w:sz w:val="22"/>
          <w:szCs w:val="22"/>
          <w:lang w:val="bs-Latn-BA"/>
        </w:rPr>
        <w:t xml:space="preserve">Jedan od dostupnih servisa za žrtve nasilja u porodici na području Tuzlanskog kantona je sigurna kuća koju vodi Udruženje građana Vive Žene Tuzla. Ova organizacija već dugi niz godina pruža </w:t>
      </w:r>
      <w:r w:rsidRPr="00033459">
        <w:rPr>
          <w:rFonts w:ascii="Cambria" w:hAnsi="Cambria"/>
          <w:sz w:val="22"/>
          <w:szCs w:val="22"/>
          <w:lang w:val="bs-Latn-BA"/>
        </w:rPr>
        <w:lastRenderedPageBreak/>
        <w:t>sveobuhvatnu pomoć i podršku ženama žrtvama nasilja, u skladu sa Protokolom intervencija u slučajevima nasilja u porodici za Tuzlanski kanton. Pristup sigurnoj kući moguć je putem zahtjeva centara za socijalni rad, policije, zdravstvenih ustanova, pravosudnih organa, kao i na lični zahtjev žrtve. U okviru tretmana žrtvama nasilja obezbjeđuju se sljedeći oblici pomoći: psihoterapijski tretman, socijalno-pravno savjetovanje, body terapija, okupaciona terapija, medicinska pomoć, partnerska i porodična terapija, kao i koordinacija sa nadležnim institucijama i članovima porodice.</w:t>
      </w:r>
    </w:p>
    <w:p w:rsidR="002F596A" w:rsidRPr="00033459" w:rsidRDefault="002F596A" w:rsidP="002F596A">
      <w:pPr>
        <w:pStyle w:val="NormalWeb"/>
        <w:spacing w:before="0" w:beforeAutospacing="0" w:after="160" w:afterAutospacing="0"/>
        <w:jc w:val="both"/>
        <w:rPr>
          <w:rFonts w:ascii="Cambria" w:hAnsi="Cambria"/>
          <w:sz w:val="22"/>
          <w:szCs w:val="22"/>
          <w:lang w:val="bs-Latn-BA"/>
        </w:rPr>
      </w:pPr>
      <w:r w:rsidRPr="00033459">
        <w:rPr>
          <w:rFonts w:ascii="Cambria" w:hAnsi="Cambria"/>
          <w:sz w:val="22"/>
          <w:szCs w:val="22"/>
          <w:lang w:val="bs-Latn-BA"/>
        </w:rPr>
        <w:t>Analizom svih aktivnosti, statističkih pokazatelja i institucionalnog odgovora evidentno je da postoji uzlazni trend u prijavljivanju i prepoznavanju nasilja, kao i napredak u međuresorskoj saradnji i primjeni zakonom propisanih mjera zaštite. Međutim, kontinuirano praćenje, edukacija, međuinstitucionalna saradnja i podrška servisa za pomoć žrtvama ostaju ključni za dalji napredak u ovoj oblasti.</w:t>
      </w:r>
    </w:p>
    <w:p w:rsidR="00993B1F" w:rsidRPr="00033459" w:rsidRDefault="00E0089A" w:rsidP="002F596A">
      <w:pPr>
        <w:spacing w:line="240" w:lineRule="auto"/>
        <w:jc w:val="both"/>
        <w:rPr>
          <w:rFonts w:ascii="Cambria" w:eastAsia="Times New Roman" w:hAnsi="Cambria" w:cs="Times New Roman"/>
          <w:b/>
          <w:i/>
          <w:lang w:val="bs-Latn-BA"/>
        </w:rPr>
      </w:pPr>
      <w:r>
        <w:rPr>
          <w:rFonts w:ascii="Cambria" w:eastAsia="Times New Roman" w:hAnsi="Cambria" w:cs="Times New Roman"/>
          <w:b/>
          <w:i/>
          <w:lang w:val="bs-Latn-BA"/>
        </w:rPr>
        <w:t>Tabela br. 1</w:t>
      </w:r>
      <w:r w:rsidR="00942562" w:rsidRPr="00033459">
        <w:rPr>
          <w:rFonts w:ascii="Cambria" w:eastAsia="Times New Roman" w:hAnsi="Cambria" w:cs="Times New Roman"/>
          <w:b/>
          <w:i/>
          <w:lang w:val="bs-Latn-BA"/>
        </w:rPr>
        <w:t>: Pregled usluga</w:t>
      </w:r>
      <w:r w:rsidR="00E257D2" w:rsidRPr="00033459">
        <w:rPr>
          <w:rFonts w:ascii="Cambria" w:eastAsia="Times New Roman" w:hAnsi="Cambria" w:cs="Times New Roman"/>
          <w:b/>
          <w:i/>
          <w:lang w:val="bs-Latn-BA"/>
        </w:rPr>
        <w:t xml:space="preserve"> </w:t>
      </w:r>
      <w:r w:rsidR="00942562" w:rsidRPr="00033459">
        <w:rPr>
          <w:rFonts w:ascii="Cambria" w:eastAsia="Times New Roman" w:hAnsi="Cambria" w:cs="Times New Roman"/>
          <w:b/>
          <w:i/>
          <w:lang w:val="bs-Latn-BA"/>
        </w:rPr>
        <w:t>Udruženja Građana Vive žene za žrtve nasilja u porodici</w:t>
      </w:r>
    </w:p>
    <w:tbl>
      <w:tblPr>
        <w:tblStyle w:val="GridTable3-Accent1"/>
        <w:tblW w:w="8926" w:type="dxa"/>
        <w:tblLayout w:type="fixed"/>
        <w:tblLook w:val="0400" w:firstRow="0" w:lastRow="0" w:firstColumn="0" w:lastColumn="0" w:noHBand="0" w:noVBand="1"/>
      </w:tblPr>
      <w:tblGrid>
        <w:gridCol w:w="1333"/>
        <w:gridCol w:w="1680"/>
        <w:gridCol w:w="1201"/>
        <w:gridCol w:w="1237"/>
        <w:gridCol w:w="1386"/>
        <w:gridCol w:w="2089"/>
      </w:tblGrid>
      <w:tr w:rsidR="002F596A" w:rsidRPr="00033459" w:rsidTr="00E0089A">
        <w:trPr>
          <w:cnfStyle w:val="000000100000" w:firstRow="0" w:lastRow="0" w:firstColumn="0" w:lastColumn="0" w:oddVBand="0" w:evenVBand="0" w:oddHBand="1" w:evenHBand="0" w:firstRowFirstColumn="0" w:firstRowLastColumn="0" w:lastRowFirstColumn="0" w:lastRowLastColumn="0"/>
        </w:trPr>
        <w:tc>
          <w:tcPr>
            <w:tcW w:w="1333" w:type="dxa"/>
          </w:tcPr>
          <w:p w:rsidR="00993B1F" w:rsidRPr="00033459" w:rsidRDefault="00942562" w:rsidP="002F596A">
            <w:pPr>
              <w:jc w:val="both"/>
              <w:rPr>
                <w:rFonts w:ascii="Cambria" w:eastAsia="Times New Roman" w:hAnsi="Cambria" w:cs="Times New Roman"/>
                <w:b/>
                <w:bCs/>
                <w:lang w:val="bs-Latn-BA"/>
              </w:rPr>
            </w:pPr>
            <w:r w:rsidRPr="00033459">
              <w:rPr>
                <w:rFonts w:ascii="Cambria" w:eastAsia="Times New Roman" w:hAnsi="Cambria" w:cs="Times New Roman"/>
                <w:b/>
                <w:bCs/>
                <w:lang w:val="bs-Latn-BA"/>
              </w:rPr>
              <w:t>Godina</w:t>
            </w:r>
          </w:p>
        </w:tc>
        <w:tc>
          <w:tcPr>
            <w:tcW w:w="1680" w:type="dxa"/>
          </w:tcPr>
          <w:p w:rsidR="00993B1F" w:rsidRPr="00033459" w:rsidRDefault="00942562" w:rsidP="002F596A">
            <w:pPr>
              <w:jc w:val="both"/>
              <w:rPr>
                <w:rFonts w:ascii="Cambria" w:eastAsia="Times New Roman" w:hAnsi="Cambria" w:cs="Times New Roman"/>
                <w:b/>
                <w:bCs/>
                <w:lang w:val="bs-Latn-BA"/>
              </w:rPr>
            </w:pPr>
            <w:r w:rsidRPr="00033459">
              <w:rPr>
                <w:rFonts w:ascii="Cambria" w:eastAsia="Times New Roman" w:hAnsi="Cambria" w:cs="Times New Roman"/>
                <w:b/>
                <w:bCs/>
                <w:lang w:val="bs-Latn-BA"/>
              </w:rPr>
              <w:t>Broj poziva na SOS telefon</w:t>
            </w:r>
          </w:p>
        </w:tc>
        <w:tc>
          <w:tcPr>
            <w:tcW w:w="3824" w:type="dxa"/>
            <w:gridSpan w:val="3"/>
          </w:tcPr>
          <w:p w:rsidR="00993B1F" w:rsidRPr="00033459" w:rsidRDefault="00942562" w:rsidP="002F596A">
            <w:pPr>
              <w:jc w:val="both"/>
              <w:rPr>
                <w:rFonts w:ascii="Cambria" w:eastAsia="Times New Roman" w:hAnsi="Cambria" w:cs="Times New Roman"/>
                <w:b/>
                <w:bCs/>
                <w:lang w:val="bs-Latn-BA"/>
              </w:rPr>
            </w:pPr>
            <w:r w:rsidRPr="00033459">
              <w:rPr>
                <w:rFonts w:ascii="Cambria" w:eastAsia="Times New Roman" w:hAnsi="Cambria" w:cs="Times New Roman"/>
                <w:b/>
                <w:bCs/>
                <w:lang w:val="bs-Latn-BA"/>
              </w:rPr>
              <w:t>Broj korisnika usluge smještaja u Sigurnu kuću</w:t>
            </w:r>
          </w:p>
        </w:tc>
        <w:tc>
          <w:tcPr>
            <w:tcW w:w="2089" w:type="dxa"/>
          </w:tcPr>
          <w:p w:rsidR="00993B1F" w:rsidRPr="00033459" w:rsidRDefault="00942562" w:rsidP="002F596A">
            <w:pPr>
              <w:jc w:val="both"/>
              <w:rPr>
                <w:rFonts w:ascii="Cambria" w:eastAsia="Times New Roman" w:hAnsi="Cambria" w:cs="Times New Roman"/>
                <w:b/>
                <w:bCs/>
                <w:lang w:val="bs-Latn-BA"/>
              </w:rPr>
            </w:pPr>
            <w:r w:rsidRPr="00033459">
              <w:rPr>
                <w:rFonts w:ascii="Cambria" w:eastAsia="Times New Roman" w:hAnsi="Cambria" w:cs="Times New Roman"/>
                <w:b/>
                <w:bCs/>
                <w:lang w:val="bs-Latn-BA"/>
              </w:rPr>
              <w:t>Broj korisnika usluga dnevnog tretmana</w:t>
            </w:r>
          </w:p>
        </w:tc>
      </w:tr>
      <w:tr w:rsidR="002F596A" w:rsidRPr="00033459" w:rsidTr="00E0089A">
        <w:tc>
          <w:tcPr>
            <w:tcW w:w="1333" w:type="dxa"/>
          </w:tcPr>
          <w:p w:rsidR="00993B1F" w:rsidRPr="00033459" w:rsidRDefault="00993B1F" w:rsidP="002F596A">
            <w:pPr>
              <w:jc w:val="both"/>
              <w:rPr>
                <w:rFonts w:ascii="Cambria" w:eastAsia="Times New Roman" w:hAnsi="Cambria" w:cs="Times New Roman"/>
                <w:lang w:val="bs-Latn-BA"/>
              </w:rPr>
            </w:pPr>
          </w:p>
        </w:tc>
        <w:tc>
          <w:tcPr>
            <w:tcW w:w="1680" w:type="dxa"/>
          </w:tcPr>
          <w:p w:rsidR="00993B1F" w:rsidRPr="00033459" w:rsidRDefault="00993B1F" w:rsidP="002F596A">
            <w:pPr>
              <w:jc w:val="both"/>
              <w:rPr>
                <w:rFonts w:ascii="Cambria" w:eastAsia="Times New Roman" w:hAnsi="Cambria" w:cs="Times New Roman"/>
                <w:lang w:val="bs-Latn-BA"/>
              </w:rPr>
            </w:pPr>
          </w:p>
        </w:tc>
        <w:tc>
          <w:tcPr>
            <w:tcW w:w="1201" w:type="dxa"/>
          </w:tcPr>
          <w:p w:rsidR="00993B1F" w:rsidRPr="00033459" w:rsidRDefault="00942562" w:rsidP="002F596A">
            <w:pPr>
              <w:jc w:val="both"/>
              <w:rPr>
                <w:rFonts w:ascii="Cambria" w:eastAsia="Times New Roman" w:hAnsi="Cambria" w:cs="Times New Roman"/>
                <w:lang w:val="bs-Latn-BA"/>
              </w:rPr>
            </w:pPr>
            <w:r w:rsidRPr="00033459">
              <w:rPr>
                <w:rFonts w:ascii="Cambria" w:eastAsia="Times New Roman" w:hAnsi="Cambria" w:cs="Times New Roman"/>
                <w:lang w:val="bs-Latn-BA"/>
              </w:rPr>
              <w:t>Broj žena</w:t>
            </w:r>
          </w:p>
        </w:tc>
        <w:tc>
          <w:tcPr>
            <w:tcW w:w="1237" w:type="dxa"/>
          </w:tcPr>
          <w:p w:rsidR="00993B1F" w:rsidRPr="00033459" w:rsidRDefault="00942562" w:rsidP="002F596A">
            <w:pPr>
              <w:jc w:val="both"/>
              <w:rPr>
                <w:rFonts w:ascii="Cambria" w:eastAsia="Times New Roman" w:hAnsi="Cambria" w:cs="Times New Roman"/>
                <w:lang w:val="bs-Latn-BA"/>
              </w:rPr>
            </w:pPr>
            <w:r w:rsidRPr="00033459">
              <w:rPr>
                <w:rFonts w:ascii="Cambria" w:eastAsia="Times New Roman" w:hAnsi="Cambria" w:cs="Times New Roman"/>
                <w:lang w:val="bs-Latn-BA"/>
              </w:rPr>
              <w:t>Broj djece</w:t>
            </w:r>
          </w:p>
        </w:tc>
        <w:tc>
          <w:tcPr>
            <w:tcW w:w="1386" w:type="dxa"/>
          </w:tcPr>
          <w:p w:rsidR="00993B1F" w:rsidRPr="00033459" w:rsidRDefault="00942562" w:rsidP="002F596A">
            <w:pPr>
              <w:jc w:val="both"/>
              <w:rPr>
                <w:rFonts w:ascii="Cambria" w:eastAsia="Times New Roman" w:hAnsi="Cambria" w:cs="Times New Roman"/>
                <w:b/>
                <w:lang w:val="bs-Latn-BA"/>
              </w:rPr>
            </w:pPr>
            <w:r w:rsidRPr="00033459">
              <w:rPr>
                <w:rFonts w:ascii="Cambria" w:eastAsia="Times New Roman" w:hAnsi="Cambria" w:cs="Times New Roman"/>
                <w:b/>
                <w:lang w:val="bs-Latn-BA"/>
              </w:rPr>
              <w:t>Ukupno</w:t>
            </w:r>
          </w:p>
        </w:tc>
        <w:tc>
          <w:tcPr>
            <w:tcW w:w="2089" w:type="dxa"/>
          </w:tcPr>
          <w:p w:rsidR="00993B1F" w:rsidRPr="00033459" w:rsidRDefault="00993B1F" w:rsidP="002F596A">
            <w:pPr>
              <w:jc w:val="both"/>
              <w:rPr>
                <w:rFonts w:ascii="Cambria" w:eastAsia="Times New Roman" w:hAnsi="Cambria" w:cs="Times New Roman"/>
                <w:lang w:val="bs-Latn-BA"/>
              </w:rPr>
            </w:pPr>
          </w:p>
        </w:tc>
      </w:tr>
      <w:tr w:rsidR="002F596A" w:rsidRPr="00033459" w:rsidTr="00E0089A">
        <w:trPr>
          <w:cnfStyle w:val="000000100000" w:firstRow="0" w:lastRow="0" w:firstColumn="0" w:lastColumn="0" w:oddVBand="0" w:evenVBand="0" w:oddHBand="1" w:evenHBand="0" w:firstRowFirstColumn="0" w:firstRowLastColumn="0" w:lastRowFirstColumn="0" w:lastRowLastColumn="0"/>
        </w:trPr>
        <w:tc>
          <w:tcPr>
            <w:tcW w:w="1333" w:type="dxa"/>
          </w:tcPr>
          <w:p w:rsidR="00993B1F" w:rsidRPr="00033459" w:rsidRDefault="00942562" w:rsidP="002F596A">
            <w:pPr>
              <w:jc w:val="both"/>
              <w:rPr>
                <w:rFonts w:ascii="Cambria" w:eastAsia="Times New Roman" w:hAnsi="Cambria" w:cs="Times New Roman"/>
                <w:lang w:val="bs-Latn-BA"/>
              </w:rPr>
            </w:pPr>
            <w:r w:rsidRPr="00033459">
              <w:rPr>
                <w:rFonts w:ascii="Cambria" w:eastAsia="Times New Roman" w:hAnsi="Cambria" w:cs="Times New Roman"/>
                <w:lang w:val="bs-Latn-BA"/>
              </w:rPr>
              <w:t>2021.</w:t>
            </w:r>
          </w:p>
        </w:tc>
        <w:tc>
          <w:tcPr>
            <w:tcW w:w="1680" w:type="dxa"/>
          </w:tcPr>
          <w:p w:rsidR="00993B1F" w:rsidRPr="00033459" w:rsidRDefault="00942562" w:rsidP="00E0089A">
            <w:pPr>
              <w:jc w:val="center"/>
              <w:rPr>
                <w:rFonts w:ascii="Cambria" w:eastAsia="Times New Roman" w:hAnsi="Cambria" w:cs="Times New Roman"/>
                <w:lang w:val="bs-Latn-BA"/>
              </w:rPr>
            </w:pPr>
            <w:r w:rsidRPr="00033459">
              <w:rPr>
                <w:rFonts w:ascii="Cambria" w:eastAsia="Times New Roman" w:hAnsi="Cambria" w:cs="Times New Roman"/>
                <w:lang w:val="bs-Latn-BA"/>
              </w:rPr>
              <w:t>52</w:t>
            </w:r>
          </w:p>
        </w:tc>
        <w:tc>
          <w:tcPr>
            <w:tcW w:w="1201" w:type="dxa"/>
          </w:tcPr>
          <w:p w:rsidR="00993B1F" w:rsidRPr="00033459" w:rsidRDefault="00942562" w:rsidP="00E0089A">
            <w:pPr>
              <w:jc w:val="center"/>
              <w:rPr>
                <w:rFonts w:ascii="Cambria" w:eastAsia="Times New Roman" w:hAnsi="Cambria" w:cs="Times New Roman"/>
                <w:lang w:val="bs-Latn-BA"/>
              </w:rPr>
            </w:pPr>
            <w:r w:rsidRPr="00033459">
              <w:rPr>
                <w:rFonts w:ascii="Cambria" w:eastAsia="Times New Roman" w:hAnsi="Cambria" w:cs="Times New Roman"/>
                <w:lang w:val="bs-Latn-BA"/>
              </w:rPr>
              <w:t>52</w:t>
            </w:r>
          </w:p>
        </w:tc>
        <w:tc>
          <w:tcPr>
            <w:tcW w:w="1237" w:type="dxa"/>
          </w:tcPr>
          <w:p w:rsidR="00993B1F" w:rsidRPr="00033459" w:rsidRDefault="00942562" w:rsidP="00E0089A">
            <w:pPr>
              <w:jc w:val="center"/>
              <w:rPr>
                <w:rFonts w:ascii="Cambria" w:eastAsia="Times New Roman" w:hAnsi="Cambria" w:cs="Times New Roman"/>
                <w:lang w:val="bs-Latn-BA"/>
              </w:rPr>
            </w:pPr>
            <w:r w:rsidRPr="00033459">
              <w:rPr>
                <w:rFonts w:ascii="Cambria" w:eastAsia="Times New Roman" w:hAnsi="Cambria" w:cs="Times New Roman"/>
                <w:lang w:val="bs-Latn-BA"/>
              </w:rPr>
              <w:t>54</w:t>
            </w:r>
          </w:p>
        </w:tc>
        <w:tc>
          <w:tcPr>
            <w:tcW w:w="1386" w:type="dxa"/>
          </w:tcPr>
          <w:p w:rsidR="00993B1F" w:rsidRPr="00033459" w:rsidRDefault="00942562" w:rsidP="00E0089A">
            <w:pPr>
              <w:jc w:val="center"/>
              <w:rPr>
                <w:rFonts w:ascii="Cambria" w:eastAsia="Times New Roman" w:hAnsi="Cambria" w:cs="Times New Roman"/>
                <w:lang w:val="bs-Latn-BA"/>
              </w:rPr>
            </w:pPr>
            <w:r w:rsidRPr="00033459">
              <w:rPr>
                <w:rFonts w:ascii="Cambria" w:eastAsia="Times New Roman" w:hAnsi="Cambria" w:cs="Times New Roman"/>
                <w:lang w:val="bs-Latn-BA"/>
              </w:rPr>
              <w:t>106</w:t>
            </w:r>
          </w:p>
        </w:tc>
        <w:tc>
          <w:tcPr>
            <w:tcW w:w="2089" w:type="dxa"/>
          </w:tcPr>
          <w:p w:rsidR="00993B1F" w:rsidRPr="00033459" w:rsidRDefault="00942562" w:rsidP="00E0089A">
            <w:pPr>
              <w:jc w:val="center"/>
              <w:rPr>
                <w:rFonts w:ascii="Cambria" w:eastAsia="Times New Roman" w:hAnsi="Cambria" w:cs="Times New Roman"/>
                <w:lang w:val="bs-Latn-BA"/>
              </w:rPr>
            </w:pPr>
            <w:r w:rsidRPr="00033459">
              <w:rPr>
                <w:rFonts w:ascii="Cambria" w:eastAsia="Times New Roman" w:hAnsi="Cambria" w:cs="Times New Roman"/>
                <w:lang w:val="bs-Latn-BA"/>
              </w:rPr>
              <w:t>276</w:t>
            </w:r>
          </w:p>
        </w:tc>
      </w:tr>
      <w:tr w:rsidR="002F596A" w:rsidRPr="00033459" w:rsidTr="00E0089A">
        <w:tc>
          <w:tcPr>
            <w:tcW w:w="1333" w:type="dxa"/>
          </w:tcPr>
          <w:p w:rsidR="00993B1F" w:rsidRPr="00033459" w:rsidRDefault="00942562" w:rsidP="002F596A">
            <w:pPr>
              <w:jc w:val="both"/>
              <w:rPr>
                <w:rFonts w:ascii="Cambria" w:eastAsia="Times New Roman" w:hAnsi="Cambria" w:cs="Times New Roman"/>
                <w:lang w:val="bs-Latn-BA"/>
              </w:rPr>
            </w:pPr>
            <w:r w:rsidRPr="00033459">
              <w:rPr>
                <w:rFonts w:ascii="Cambria" w:eastAsia="Times New Roman" w:hAnsi="Cambria" w:cs="Times New Roman"/>
                <w:lang w:val="bs-Latn-BA"/>
              </w:rPr>
              <w:t>2022.</w:t>
            </w:r>
          </w:p>
        </w:tc>
        <w:tc>
          <w:tcPr>
            <w:tcW w:w="1680" w:type="dxa"/>
          </w:tcPr>
          <w:p w:rsidR="00993B1F" w:rsidRPr="00033459" w:rsidRDefault="00942562" w:rsidP="00E0089A">
            <w:pPr>
              <w:jc w:val="center"/>
              <w:rPr>
                <w:rFonts w:ascii="Cambria" w:eastAsia="Times New Roman" w:hAnsi="Cambria" w:cs="Times New Roman"/>
                <w:lang w:val="bs-Latn-BA"/>
              </w:rPr>
            </w:pPr>
            <w:r w:rsidRPr="00033459">
              <w:rPr>
                <w:rFonts w:ascii="Cambria" w:eastAsia="Times New Roman" w:hAnsi="Cambria" w:cs="Times New Roman"/>
                <w:lang w:val="bs-Latn-BA"/>
              </w:rPr>
              <w:t>52</w:t>
            </w:r>
          </w:p>
        </w:tc>
        <w:tc>
          <w:tcPr>
            <w:tcW w:w="1201" w:type="dxa"/>
          </w:tcPr>
          <w:p w:rsidR="00993B1F" w:rsidRPr="00033459" w:rsidRDefault="00942562" w:rsidP="00E0089A">
            <w:pPr>
              <w:jc w:val="center"/>
              <w:rPr>
                <w:rFonts w:ascii="Cambria" w:eastAsia="Times New Roman" w:hAnsi="Cambria" w:cs="Times New Roman"/>
                <w:lang w:val="bs-Latn-BA"/>
              </w:rPr>
            </w:pPr>
            <w:r w:rsidRPr="00033459">
              <w:rPr>
                <w:rFonts w:ascii="Cambria" w:eastAsia="Times New Roman" w:hAnsi="Cambria" w:cs="Times New Roman"/>
                <w:lang w:val="bs-Latn-BA"/>
              </w:rPr>
              <w:t>55</w:t>
            </w:r>
          </w:p>
        </w:tc>
        <w:tc>
          <w:tcPr>
            <w:tcW w:w="1237" w:type="dxa"/>
          </w:tcPr>
          <w:p w:rsidR="00993B1F" w:rsidRPr="00033459" w:rsidRDefault="00942562" w:rsidP="00E0089A">
            <w:pPr>
              <w:jc w:val="center"/>
              <w:rPr>
                <w:rFonts w:ascii="Cambria" w:eastAsia="Times New Roman" w:hAnsi="Cambria" w:cs="Times New Roman"/>
                <w:lang w:val="bs-Latn-BA"/>
              </w:rPr>
            </w:pPr>
            <w:r w:rsidRPr="00033459">
              <w:rPr>
                <w:rFonts w:ascii="Cambria" w:eastAsia="Times New Roman" w:hAnsi="Cambria" w:cs="Times New Roman"/>
                <w:lang w:val="bs-Latn-BA"/>
              </w:rPr>
              <w:t>47</w:t>
            </w:r>
          </w:p>
        </w:tc>
        <w:tc>
          <w:tcPr>
            <w:tcW w:w="1386" w:type="dxa"/>
          </w:tcPr>
          <w:p w:rsidR="00993B1F" w:rsidRPr="00033459" w:rsidRDefault="00942562" w:rsidP="00E0089A">
            <w:pPr>
              <w:jc w:val="center"/>
              <w:rPr>
                <w:rFonts w:ascii="Cambria" w:eastAsia="Times New Roman" w:hAnsi="Cambria" w:cs="Times New Roman"/>
                <w:lang w:val="bs-Latn-BA"/>
              </w:rPr>
            </w:pPr>
            <w:r w:rsidRPr="00033459">
              <w:rPr>
                <w:rFonts w:ascii="Cambria" w:eastAsia="Times New Roman" w:hAnsi="Cambria" w:cs="Times New Roman"/>
                <w:lang w:val="bs-Latn-BA"/>
              </w:rPr>
              <w:t>102</w:t>
            </w:r>
          </w:p>
        </w:tc>
        <w:tc>
          <w:tcPr>
            <w:tcW w:w="2089" w:type="dxa"/>
          </w:tcPr>
          <w:p w:rsidR="00993B1F" w:rsidRPr="00033459" w:rsidRDefault="00942562" w:rsidP="00E0089A">
            <w:pPr>
              <w:jc w:val="center"/>
              <w:rPr>
                <w:rFonts w:ascii="Cambria" w:eastAsia="Times New Roman" w:hAnsi="Cambria" w:cs="Times New Roman"/>
                <w:lang w:val="bs-Latn-BA"/>
              </w:rPr>
            </w:pPr>
            <w:r w:rsidRPr="00033459">
              <w:rPr>
                <w:rFonts w:ascii="Cambria" w:eastAsia="Times New Roman" w:hAnsi="Cambria" w:cs="Times New Roman"/>
                <w:lang w:val="bs-Latn-BA"/>
              </w:rPr>
              <w:t>221</w:t>
            </w:r>
          </w:p>
        </w:tc>
      </w:tr>
      <w:tr w:rsidR="002F596A" w:rsidRPr="00033459" w:rsidTr="00E0089A">
        <w:trPr>
          <w:cnfStyle w:val="000000100000" w:firstRow="0" w:lastRow="0" w:firstColumn="0" w:lastColumn="0" w:oddVBand="0" w:evenVBand="0" w:oddHBand="1" w:evenHBand="0" w:firstRowFirstColumn="0" w:firstRowLastColumn="0" w:lastRowFirstColumn="0" w:lastRowLastColumn="0"/>
        </w:trPr>
        <w:tc>
          <w:tcPr>
            <w:tcW w:w="1333" w:type="dxa"/>
          </w:tcPr>
          <w:p w:rsidR="00993B1F" w:rsidRPr="00033459" w:rsidRDefault="00942562" w:rsidP="002F596A">
            <w:pPr>
              <w:jc w:val="both"/>
              <w:rPr>
                <w:rFonts w:ascii="Cambria" w:eastAsia="Times New Roman" w:hAnsi="Cambria" w:cs="Times New Roman"/>
                <w:lang w:val="bs-Latn-BA"/>
              </w:rPr>
            </w:pPr>
            <w:r w:rsidRPr="00033459">
              <w:rPr>
                <w:rFonts w:ascii="Cambria" w:eastAsia="Times New Roman" w:hAnsi="Cambria" w:cs="Times New Roman"/>
                <w:lang w:val="bs-Latn-BA"/>
              </w:rPr>
              <w:t>2023</w:t>
            </w:r>
          </w:p>
        </w:tc>
        <w:tc>
          <w:tcPr>
            <w:tcW w:w="1680" w:type="dxa"/>
          </w:tcPr>
          <w:p w:rsidR="00993B1F" w:rsidRPr="00033459" w:rsidRDefault="00942562" w:rsidP="00E0089A">
            <w:pPr>
              <w:jc w:val="center"/>
              <w:rPr>
                <w:rFonts w:ascii="Cambria" w:eastAsia="Times New Roman" w:hAnsi="Cambria" w:cs="Times New Roman"/>
                <w:lang w:val="bs-Latn-BA"/>
              </w:rPr>
            </w:pPr>
            <w:r w:rsidRPr="00033459">
              <w:rPr>
                <w:rFonts w:ascii="Cambria" w:eastAsia="Times New Roman" w:hAnsi="Cambria" w:cs="Times New Roman"/>
                <w:lang w:val="bs-Latn-BA"/>
              </w:rPr>
              <w:t>52</w:t>
            </w:r>
          </w:p>
        </w:tc>
        <w:tc>
          <w:tcPr>
            <w:tcW w:w="1201" w:type="dxa"/>
          </w:tcPr>
          <w:p w:rsidR="00993B1F" w:rsidRPr="00033459" w:rsidRDefault="00942562" w:rsidP="00E0089A">
            <w:pPr>
              <w:jc w:val="center"/>
              <w:rPr>
                <w:rFonts w:ascii="Cambria" w:eastAsia="Times New Roman" w:hAnsi="Cambria" w:cs="Times New Roman"/>
                <w:lang w:val="bs-Latn-BA"/>
              </w:rPr>
            </w:pPr>
            <w:r w:rsidRPr="00033459">
              <w:rPr>
                <w:rFonts w:ascii="Cambria" w:eastAsia="Times New Roman" w:hAnsi="Cambria" w:cs="Times New Roman"/>
                <w:lang w:val="bs-Latn-BA"/>
              </w:rPr>
              <w:t>60</w:t>
            </w:r>
          </w:p>
        </w:tc>
        <w:tc>
          <w:tcPr>
            <w:tcW w:w="1237" w:type="dxa"/>
          </w:tcPr>
          <w:p w:rsidR="00993B1F" w:rsidRPr="00033459" w:rsidRDefault="00942562" w:rsidP="00E0089A">
            <w:pPr>
              <w:jc w:val="center"/>
              <w:rPr>
                <w:rFonts w:ascii="Cambria" w:eastAsia="Times New Roman" w:hAnsi="Cambria" w:cs="Times New Roman"/>
                <w:lang w:val="bs-Latn-BA"/>
              </w:rPr>
            </w:pPr>
            <w:r w:rsidRPr="00033459">
              <w:rPr>
                <w:rFonts w:ascii="Cambria" w:eastAsia="Times New Roman" w:hAnsi="Cambria" w:cs="Times New Roman"/>
                <w:lang w:val="bs-Latn-BA"/>
              </w:rPr>
              <w:t>66</w:t>
            </w:r>
          </w:p>
        </w:tc>
        <w:tc>
          <w:tcPr>
            <w:tcW w:w="1386" w:type="dxa"/>
          </w:tcPr>
          <w:p w:rsidR="00993B1F" w:rsidRPr="00033459" w:rsidRDefault="00942562" w:rsidP="00E0089A">
            <w:pPr>
              <w:jc w:val="center"/>
              <w:rPr>
                <w:rFonts w:ascii="Cambria" w:eastAsia="Times New Roman" w:hAnsi="Cambria" w:cs="Times New Roman"/>
                <w:lang w:val="bs-Latn-BA"/>
              </w:rPr>
            </w:pPr>
            <w:r w:rsidRPr="00033459">
              <w:rPr>
                <w:rFonts w:ascii="Cambria" w:eastAsia="Times New Roman" w:hAnsi="Cambria" w:cs="Times New Roman"/>
                <w:lang w:val="bs-Latn-BA"/>
              </w:rPr>
              <w:t>126</w:t>
            </w:r>
          </w:p>
        </w:tc>
        <w:tc>
          <w:tcPr>
            <w:tcW w:w="2089" w:type="dxa"/>
          </w:tcPr>
          <w:p w:rsidR="00993B1F" w:rsidRPr="00033459" w:rsidRDefault="00942562" w:rsidP="00E0089A">
            <w:pPr>
              <w:jc w:val="center"/>
              <w:rPr>
                <w:rFonts w:ascii="Cambria" w:eastAsia="Times New Roman" w:hAnsi="Cambria" w:cs="Times New Roman"/>
                <w:lang w:val="bs-Latn-BA"/>
              </w:rPr>
            </w:pPr>
            <w:r w:rsidRPr="00033459">
              <w:rPr>
                <w:rFonts w:ascii="Cambria" w:eastAsia="Times New Roman" w:hAnsi="Cambria" w:cs="Times New Roman"/>
                <w:lang w:val="bs-Latn-BA"/>
              </w:rPr>
              <w:t>287</w:t>
            </w:r>
          </w:p>
        </w:tc>
      </w:tr>
      <w:tr w:rsidR="002F596A" w:rsidRPr="00033459" w:rsidTr="00E0089A">
        <w:tc>
          <w:tcPr>
            <w:tcW w:w="1333" w:type="dxa"/>
          </w:tcPr>
          <w:p w:rsidR="00993B1F" w:rsidRPr="00033459" w:rsidRDefault="00942562" w:rsidP="002F596A">
            <w:pPr>
              <w:jc w:val="both"/>
              <w:rPr>
                <w:rFonts w:ascii="Cambria" w:eastAsia="Times New Roman" w:hAnsi="Cambria" w:cs="Times New Roman"/>
                <w:lang w:val="bs-Latn-BA"/>
              </w:rPr>
            </w:pPr>
            <w:r w:rsidRPr="00033459">
              <w:rPr>
                <w:rFonts w:ascii="Cambria" w:eastAsia="Times New Roman" w:hAnsi="Cambria" w:cs="Times New Roman"/>
                <w:lang w:val="bs-Latn-BA"/>
              </w:rPr>
              <w:t>2024.</w:t>
            </w:r>
          </w:p>
        </w:tc>
        <w:tc>
          <w:tcPr>
            <w:tcW w:w="1680" w:type="dxa"/>
          </w:tcPr>
          <w:p w:rsidR="00993B1F" w:rsidRPr="00033459" w:rsidRDefault="00942562" w:rsidP="00E0089A">
            <w:pPr>
              <w:jc w:val="center"/>
              <w:rPr>
                <w:rFonts w:ascii="Cambria" w:eastAsia="Times New Roman" w:hAnsi="Cambria" w:cs="Times New Roman"/>
                <w:lang w:val="bs-Latn-BA"/>
              </w:rPr>
            </w:pPr>
            <w:r w:rsidRPr="00033459">
              <w:rPr>
                <w:rFonts w:ascii="Cambria" w:eastAsia="Times New Roman" w:hAnsi="Cambria" w:cs="Times New Roman"/>
                <w:lang w:val="bs-Latn-BA"/>
              </w:rPr>
              <w:t>52</w:t>
            </w:r>
          </w:p>
        </w:tc>
        <w:tc>
          <w:tcPr>
            <w:tcW w:w="1201" w:type="dxa"/>
          </w:tcPr>
          <w:p w:rsidR="00993B1F" w:rsidRPr="00033459" w:rsidRDefault="00942562" w:rsidP="00E0089A">
            <w:pPr>
              <w:jc w:val="center"/>
              <w:rPr>
                <w:rFonts w:ascii="Cambria" w:eastAsia="Times New Roman" w:hAnsi="Cambria" w:cs="Times New Roman"/>
                <w:lang w:val="bs-Latn-BA"/>
              </w:rPr>
            </w:pPr>
            <w:r w:rsidRPr="00033459">
              <w:rPr>
                <w:rFonts w:ascii="Cambria" w:eastAsia="Times New Roman" w:hAnsi="Cambria" w:cs="Times New Roman"/>
                <w:lang w:val="bs-Latn-BA"/>
              </w:rPr>
              <w:t>57</w:t>
            </w:r>
          </w:p>
        </w:tc>
        <w:tc>
          <w:tcPr>
            <w:tcW w:w="1237" w:type="dxa"/>
          </w:tcPr>
          <w:p w:rsidR="00993B1F" w:rsidRPr="00033459" w:rsidRDefault="00942562" w:rsidP="00E0089A">
            <w:pPr>
              <w:jc w:val="center"/>
              <w:rPr>
                <w:rFonts w:ascii="Cambria" w:eastAsia="Times New Roman" w:hAnsi="Cambria" w:cs="Times New Roman"/>
                <w:lang w:val="bs-Latn-BA"/>
              </w:rPr>
            </w:pPr>
            <w:r w:rsidRPr="00033459">
              <w:rPr>
                <w:rFonts w:ascii="Cambria" w:eastAsia="Times New Roman" w:hAnsi="Cambria" w:cs="Times New Roman"/>
                <w:lang w:val="bs-Latn-BA"/>
              </w:rPr>
              <w:t>60</w:t>
            </w:r>
          </w:p>
        </w:tc>
        <w:tc>
          <w:tcPr>
            <w:tcW w:w="1386" w:type="dxa"/>
          </w:tcPr>
          <w:p w:rsidR="00993B1F" w:rsidRPr="00033459" w:rsidRDefault="00942562" w:rsidP="00E0089A">
            <w:pPr>
              <w:jc w:val="center"/>
              <w:rPr>
                <w:rFonts w:ascii="Cambria" w:eastAsia="Times New Roman" w:hAnsi="Cambria" w:cs="Times New Roman"/>
                <w:lang w:val="bs-Latn-BA"/>
              </w:rPr>
            </w:pPr>
            <w:r w:rsidRPr="00033459">
              <w:rPr>
                <w:rFonts w:ascii="Cambria" w:eastAsia="Times New Roman" w:hAnsi="Cambria" w:cs="Times New Roman"/>
                <w:lang w:val="bs-Latn-BA"/>
              </w:rPr>
              <w:t>117</w:t>
            </w:r>
          </w:p>
        </w:tc>
        <w:tc>
          <w:tcPr>
            <w:tcW w:w="2089" w:type="dxa"/>
          </w:tcPr>
          <w:p w:rsidR="00993B1F" w:rsidRPr="00033459" w:rsidRDefault="00942562" w:rsidP="00E0089A">
            <w:pPr>
              <w:jc w:val="center"/>
              <w:rPr>
                <w:rFonts w:ascii="Cambria" w:eastAsia="Times New Roman" w:hAnsi="Cambria" w:cs="Times New Roman"/>
                <w:lang w:val="bs-Latn-BA"/>
              </w:rPr>
            </w:pPr>
            <w:r w:rsidRPr="00033459">
              <w:rPr>
                <w:rFonts w:ascii="Cambria" w:eastAsia="Times New Roman" w:hAnsi="Cambria" w:cs="Times New Roman"/>
                <w:lang w:val="bs-Latn-BA"/>
              </w:rPr>
              <w:t>192</w:t>
            </w:r>
          </w:p>
        </w:tc>
      </w:tr>
    </w:tbl>
    <w:p w:rsidR="00993B1F" w:rsidRPr="00033459" w:rsidRDefault="00993B1F" w:rsidP="002F596A">
      <w:pPr>
        <w:spacing w:line="240" w:lineRule="auto"/>
        <w:jc w:val="both"/>
        <w:rPr>
          <w:rFonts w:ascii="Cambria" w:eastAsia="Times New Roman" w:hAnsi="Cambria" w:cs="Times New Roman"/>
          <w:lang w:val="bs-Latn-BA"/>
        </w:rPr>
      </w:pPr>
    </w:p>
    <w:p w:rsidR="00993B1F" w:rsidRPr="00033459" w:rsidRDefault="00942562" w:rsidP="002F596A">
      <w:pPr>
        <w:spacing w:line="240" w:lineRule="auto"/>
        <w:jc w:val="both"/>
        <w:rPr>
          <w:rFonts w:ascii="Cambria" w:eastAsia="Times New Roman" w:hAnsi="Cambria" w:cs="Times New Roman"/>
          <w:lang w:val="bs-Latn-BA"/>
        </w:rPr>
      </w:pPr>
      <w:r w:rsidRPr="00033459">
        <w:rPr>
          <w:rFonts w:ascii="Cambria" w:eastAsia="Times New Roman" w:hAnsi="Cambria" w:cs="Times New Roman"/>
          <w:lang w:val="bs-Latn-BA"/>
        </w:rPr>
        <w:t>U 2024.g. u Sigurnoj kući, na psihosocijalnom tretmanu je bilo 117 osoba. U poređenju sa 2023.g. nije zabilježen značajno veći broj smještenih osoba. Od ukupnog broja osoba 57 je</w:t>
      </w:r>
      <w:r w:rsidR="00E257D2" w:rsidRPr="00033459">
        <w:rPr>
          <w:rFonts w:ascii="Cambria" w:eastAsia="Times New Roman" w:hAnsi="Cambria" w:cs="Times New Roman"/>
          <w:lang w:val="bs-Latn-BA"/>
        </w:rPr>
        <w:t xml:space="preserve"> </w:t>
      </w:r>
      <w:r w:rsidRPr="00033459">
        <w:rPr>
          <w:rFonts w:ascii="Cambria" w:eastAsia="Times New Roman" w:hAnsi="Cambria" w:cs="Times New Roman"/>
          <w:lang w:val="bs-Latn-BA"/>
        </w:rPr>
        <w:t xml:space="preserve">osoba ženskog spola 60 djece. Od ukupnog broja djece 25 je dječaka i 35 djevojčica (tabela br.3). </w:t>
      </w:r>
    </w:p>
    <w:p w:rsidR="00993B1F" w:rsidRPr="00033459" w:rsidRDefault="00942562" w:rsidP="002F596A">
      <w:pPr>
        <w:spacing w:line="240" w:lineRule="auto"/>
        <w:jc w:val="both"/>
        <w:rPr>
          <w:rFonts w:ascii="Cambria" w:eastAsia="Times New Roman" w:hAnsi="Cambria" w:cs="Times New Roman"/>
          <w:lang w:val="bs-Latn-BA"/>
        </w:rPr>
      </w:pPr>
      <w:r w:rsidRPr="00033459">
        <w:rPr>
          <w:rFonts w:ascii="Cambria" w:eastAsia="Times New Roman" w:hAnsi="Cambria" w:cs="Times New Roman"/>
          <w:lang w:val="bs-Latn-BA"/>
        </w:rPr>
        <w:t>Pored smještaja u sigurnu kuću, udruženje građana „Vive Žene“ je obezbijedilo psiho-socijalni tretman za 192 osobe. Od ukupnog broja, 10 je muškaraca, 18 djece i 164 je osoba ženskog spola. Osobe su se uglavnom obraćale za pomoć zbog nasilja u porodici. U nastavku psihosocijalnog tretmana, ovim osobama je pruženo socijalno i pravno savjetovanje, psihoterapija, podrška psihologa, zdravstvena pomoć, prijava nasilja i animiranje drugih institucija za angažovanje na slučaju.</w:t>
      </w:r>
    </w:p>
    <w:p w:rsidR="00993B1F" w:rsidRPr="00033459" w:rsidRDefault="00942562" w:rsidP="002F596A">
      <w:pPr>
        <w:spacing w:line="240" w:lineRule="auto"/>
        <w:jc w:val="both"/>
        <w:rPr>
          <w:rFonts w:ascii="Cambria" w:eastAsia="Times New Roman" w:hAnsi="Cambria" w:cs="Times New Roman"/>
          <w:lang w:val="bs-Latn-BA"/>
        </w:rPr>
      </w:pPr>
      <w:r w:rsidRPr="00033459">
        <w:rPr>
          <w:rFonts w:ascii="Cambria" w:eastAsia="Times New Roman" w:hAnsi="Cambria" w:cs="Times New Roman"/>
          <w:lang w:val="bs-Latn-BA"/>
        </w:rPr>
        <w:t>Vlada Tuzlanskog kantona</w:t>
      </w:r>
      <w:r w:rsidR="00E257D2" w:rsidRPr="00033459">
        <w:rPr>
          <w:rFonts w:ascii="Cambria" w:eastAsia="Times New Roman" w:hAnsi="Cambria" w:cs="Times New Roman"/>
          <w:lang w:val="bs-Latn-BA"/>
        </w:rPr>
        <w:t xml:space="preserve"> </w:t>
      </w:r>
      <w:r w:rsidRPr="00033459">
        <w:rPr>
          <w:rFonts w:ascii="Cambria" w:eastAsia="Times New Roman" w:hAnsi="Cambria" w:cs="Times New Roman"/>
          <w:lang w:val="bs-Latn-BA"/>
        </w:rPr>
        <w:t xml:space="preserve">je tokom 2023.godine osigurala 114.000 KM za finansiranje sigurne kuće koja djeluje u okviru Udruženja građana Vive Žene Tuzla, a u 2024. godini obezbijeđena su sredstva u visini od 134.000,00 KM. </w:t>
      </w:r>
    </w:p>
    <w:p w:rsidR="002F596A" w:rsidRPr="002F596A" w:rsidRDefault="002F596A" w:rsidP="002F596A">
      <w:pPr>
        <w:spacing w:line="240" w:lineRule="auto"/>
        <w:jc w:val="both"/>
        <w:rPr>
          <w:rFonts w:ascii="Cambria" w:eastAsia="Times New Roman" w:hAnsi="Cambria" w:cs="Times New Roman"/>
          <w:lang w:val="bs-Latn-BA"/>
        </w:rPr>
      </w:pPr>
      <w:r w:rsidRPr="002F596A">
        <w:rPr>
          <w:rFonts w:ascii="Cambria" w:eastAsia="Times New Roman" w:hAnsi="Cambria" w:cs="Times New Roman"/>
          <w:lang w:val="bs-Latn-BA"/>
        </w:rPr>
        <w:t>Prema podacima Ministarstva unutrašnjih poslova Tuzlanskog kantona, tokom 2024. godine nadležnom Kantonalnom tužilaštvu podneseno je ukupno 244 izvještaja o učinjenom krivičnom djelu nasilja u porodici, što predstavlja povećanje od 17,9% u odnosu na 2023. godinu, kada je podneseno 207 izvještaja. Broj prijavljenih lica za navedeno krivično djelo u 2024. godini iznosio je 245, što je za 37 više u odnosu na prethodnu godinu. Među prijavljenima, 73 lica su evidentirana kao recidivisti.</w:t>
      </w:r>
    </w:p>
    <w:p w:rsidR="002F596A" w:rsidRPr="00033459" w:rsidRDefault="002F596A" w:rsidP="002F596A">
      <w:pPr>
        <w:spacing w:line="240" w:lineRule="auto"/>
        <w:jc w:val="both"/>
        <w:rPr>
          <w:rFonts w:ascii="Cambria" w:eastAsia="Times New Roman" w:hAnsi="Cambria" w:cs="Times New Roman"/>
          <w:lang w:val="bs-Latn-BA"/>
        </w:rPr>
      </w:pPr>
      <w:r w:rsidRPr="002F596A">
        <w:rPr>
          <w:rFonts w:ascii="Cambria" w:eastAsia="Times New Roman" w:hAnsi="Cambria" w:cs="Times New Roman"/>
          <w:lang w:val="bs-Latn-BA"/>
        </w:rPr>
        <w:t>U pogledu zahtjeva za izricanje zaštitnih mjera, tokom perioda januar–decembar 2024. godine, ovlaštena službena lica Uprave policije MUP TK podnijela su nadležnim op</w:t>
      </w:r>
      <w:r w:rsidR="00E542BE">
        <w:rPr>
          <w:rFonts w:ascii="Cambria" w:eastAsia="Times New Roman" w:hAnsi="Cambria" w:cs="Times New Roman"/>
          <w:lang w:val="bs-Latn-BA"/>
        </w:rPr>
        <w:t>ć</w:t>
      </w:r>
      <w:r w:rsidRPr="002F596A">
        <w:rPr>
          <w:rFonts w:ascii="Cambria" w:eastAsia="Times New Roman" w:hAnsi="Cambria" w:cs="Times New Roman"/>
          <w:lang w:val="bs-Latn-BA"/>
        </w:rPr>
        <w:t>inskim sudovima 395 zahtjeva za ukupno 932 zaštitne mjere (ne uključujući privremeno lišenje slobode i zadržavanje). Na osnovu tih zahtjeva, sudovi su donijeli 371 rješenje, kojim je izrečeno 863 zaštitne mjere. U poređenju s 2023. godinom, kada je bilo podneseno 230 zahtjeva za 516 zaštitnih mjera, a sudovi izrekli 223 rješenja za 485 mjera, jasno je vidljivo da je tokom 2024. godine došlo do značajnog porasta i u broju zahtjeva i u broju izrečenih zaštitnih mjera.</w:t>
      </w:r>
    </w:p>
    <w:p w:rsidR="002F596A" w:rsidRPr="002F596A" w:rsidRDefault="002F596A" w:rsidP="002F596A">
      <w:pPr>
        <w:spacing w:line="240" w:lineRule="auto"/>
        <w:jc w:val="both"/>
        <w:rPr>
          <w:rFonts w:ascii="Cambria" w:eastAsia="Times New Roman" w:hAnsi="Cambria" w:cs="Times New Roman"/>
          <w:lang w:val="bs-Latn-BA"/>
        </w:rPr>
      </w:pPr>
      <w:r w:rsidRPr="00033459">
        <w:rPr>
          <w:rFonts w:ascii="Cambria" w:eastAsia="Times New Roman" w:hAnsi="Cambria" w:cs="Times New Roman"/>
          <w:lang w:val="bs-Latn-BA"/>
        </w:rPr>
        <w:lastRenderedPageBreak/>
        <w:t xml:space="preserve">Sa ciljem dodatnog unapređenja odgovor na nasilje u porodici, </w:t>
      </w:r>
      <w:r w:rsidRPr="002F596A">
        <w:rPr>
          <w:rFonts w:ascii="Cambria" w:eastAsia="Times New Roman" w:hAnsi="Cambria" w:cs="Times New Roman"/>
          <w:lang w:val="bs-Latn-BA"/>
        </w:rPr>
        <w:t>Ministarstvo unutrašnjih poslova Tuzlanskog kantona, kroz djelovanje Uprave policije, tokom 2023. godine realizovalo je niz aktivnosti koje doprinose ostvarivanju ciljeva definisanih Gender akcionim planom Tuzlanskog kantona. Aktivnosti su bile fokusirane na prevenciju nasilja, edukaciju policijskih službenika i jačanje međusektorske saradnje.</w:t>
      </w:r>
    </w:p>
    <w:p w:rsidR="002F596A" w:rsidRPr="002F596A" w:rsidRDefault="002F596A" w:rsidP="002F596A">
      <w:pPr>
        <w:spacing w:line="240" w:lineRule="auto"/>
        <w:jc w:val="both"/>
        <w:rPr>
          <w:rFonts w:ascii="Cambria" w:eastAsia="Times New Roman" w:hAnsi="Cambria" w:cs="Times New Roman"/>
          <w:lang w:val="bs-Latn-BA"/>
        </w:rPr>
      </w:pPr>
      <w:r w:rsidRPr="002F596A">
        <w:rPr>
          <w:rFonts w:ascii="Cambria" w:eastAsia="Times New Roman" w:hAnsi="Cambria" w:cs="Times New Roman"/>
          <w:lang w:val="bs-Latn-BA"/>
        </w:rPr>
        <w:t>U okviru Programa prevencije, intervencije i resocijalizacije u oblasti maloljetničkog prestupništva, organizovano je 20 edukativnih predavanja i 5 preventivnih radionica u ukupno 19 osnovnih i srednjih škola na području kantona. Aktivnostima je prisustvovalo 1760 učenika, uz učešće nastavnog osoblja. Cilj je bio jačanje svijesti o društveno neprihvatljivim oblicima ponašanja i pružanje informacija o posljedicama nasilja.</w:t>
      </w:r>
    </w:p>
    <w:p w:rsidR="002F596A" w:rsidRPr="002F596A" w:rsidRDefault="002F596A" w:rsidP="002F596A">
      <w:pPr>
        <w:spacing w:line="240" w:lineRule="auto"/>
        <w:jc w:val="both"/>
        <w:rPr>
          <w:rFonts w:ascii="Cambria" w:eastAsia="Times New Roman" w:hAnsi="Cambria" w:cs="Times New Roman"/>
          <w:lang w:val="bs-Latn-BA"/>
        </w:rPr>
      </w:pPr>
      <w:r w:rsidRPr="002F596A">
        <w:rPr>
          <w:rFonts w:ascii="Cambria" w:eastAsia="Times New Roman" w:hAnsi="Cambria" w:cs="Times New Roman"/>
          <w:lang w:val="bs-Latn-BA"/>
        </w:rPr>
        <w:t>Shodno planu obuke na temu krivičnih djela počinjenih iz mržnje, tokom godine je 160 policijskih službenika uspješno završilo edukaciju. Obuke su bile usmjerene na prepoznavanje i procesuiranje djela počinjenih iz mržnje, s posebnim osvrtom na zaštitu žrtava.</w:t>
      </w:r>
    </w:p>
    <w:p w:rsidR="002F596A" w:rsidRPr="002F596A" w:rsidRDefault="002F596A" w:rsidP="002F596A">
      <w:pPr>
        <w:spacing w:line="240" w:lineRule="auto"/>
        <w:jc w:val="both"/>
        <w:rPr>
          <w:rFonts w:ascii="Cambria" w:eastAsia="Times New Roman" w:hAnsi="Cambria" w:cs="Times New Roman"/>
          <w:lang w:val="bs-Latn-BA"/>
        </w:rPr>
      </w:pPr>
      <w:r w:rsidRPr="002F596A">
        <w:rPr>
          <w:rFonts w:ascii="Cambria" w:eastAsia="Times New Roman" w:hAnsi="Cambria" w:cs="Times New Roman"/>
          <w:lang w:val="bs-Latn-BA"/>
        </w:rPr>
        <w:t>Policijski službenici su aktivno učestvovali u velikom broju edukativnih aktivnosti koje su organizovale druge policijske agencije, državne institucije, međunarodne organizacije i nevladine organizacije. Među temama koje su bile obrađene ističu se:</w:t>
      </w:r>
    </w:p>
    <w:p w:rsidR="002F596A" w:rsidRPr="002F596A" w:rsidRDefault="002F596A" w:rsidP="002F596A">
      <w:pPr>
        <w:numPr>
          <w:ilvl w:val="0"/>
          <w:numId w:val="11"/>
        </w:numPr>
        <w:spacing w:after="0" w:line="240" w:lineRule="auto"/>
        <w:jc w:val="both"/>
        <w:rPr>
          <w:rFonts w:ascii="Cambria" w:eastAsia="Times New Roman" w:hAnsi="Cambria" w:cs="Times New Roman"/>
          <w:lang w:val="bs-Latn-BA"/>
        </w:rPr>
      </w:pPr>
      <w:r w:rsidRPr="002F596A">
        <w:rPr>
          <w:rFonts w:ascii="Cambria" w:eastAsia="Times New Roman" w:hAnsi="Cambria" w:cs="Times New Roman"/>
          <w:lang w:val="bs-Latn-BA"/>
        </w:rPr>
        <w:t>Krivično-pravni odgovor na tehnološki potpomognuto rodno zasnovano nasilje (TFGBV)</w:t>
      </w:r>
    </w:p>
    <w:p w:rsidR="002F596A" w:rsidRPr="002F596A" w:rsidRDefault="002F596A" w:rsidP="002F596A">
      <w:pPr>
        <w:numPr>
          <w:ilvl w:val="0"/>
          <w:numId w:val="11"/>
        </w:numPr>
        <w:spacing w:after="0" w:line="240" w:lineRule="auto"/>
        <w:jc w:val="both"/>
        <w:rPr>
          <w:rFonts w:ascii="Cambria" w:eastAsia="Times New Roman" w:hAnsi="Cambria" w:cs="Times New Roman"/>
          <w:lang w:val="bs-Latn-BA"/>
        </w:rPr>
      </w:pPr>
      <w:r w:rsidRPr="002F596A">
        <w:rPr>
          <w:rFonts w:ascii="Cambria" w:eastAsia="Times New Roman" w:hAnsi="Cambria" w:cs="Times New Roman"/>
          <w:lang w:val="bs-Latn-BA"/>
        </w:rPr>
        <w:t>Rodno osjetljiv pristup i pristup usmjeren na žrtvu</w:t>
      </w:r>
    </w:p>
    <w:p w:rsidR="002F596A" w:rsidRPr="002F596A" w:rsidRDefault="002F596A" w:rsidP="002F596A">
      <w:pPr>
        <w:numPr>
          <w:ilvl w:val="0"/>
          <w:numId w:val="11"/>
        </w:numPr>
        <w:spacing w:after="0" w:line="240" w:lineRule="auto"/>
        <w:jc w:val="both"/>
        <w:rPr>
          <w:rFonts w:ascii="Cambria" w:eastAsia="Times New Roman" w:hAnsi="Cambria" w:cs="Times New Roman"/>
          <w:lang w:val="bs-Latn-BA"/>
        </w:rPr>
      </w:pPr>
      <w:r w:rsidRPr="002F596A">
        <w:rPr>
          <w:rFonts w:ascii="Cambria" w:eastAsia="Times New Roman" w:hAnsi="Cambria" w:cs="Times New Roman"/>
          <w:lang w:val="bs-Latn-BA"/>
        </w:rPr>
        <w:t>Saradnja policije i sudova u borbi protiv rodno uslovljenog nasilja</w:t>
      </w:r>
    </w:p>
    <w:p w:rsidR="002F596A" w:rsidRPr="002F596A" w:rsidRDefault="002F596A" w:rsidP="002F596A">
      <w:pPr>
        <w:numPr>
          <w:ilvl w:val="0"/>
          <w:numId w:val="11"/>
        </w:numPr>
        <w:spacing w:after="0" w:line="240" w:lineRule="auto"/>
        <w:jc w:val="both"/>
        <w:rPr>
          <w:rFonts w:ascii="Cambria" w:eastAsia="Times New Roman" w:hAnsi="Cambria" w:cs="Times New Roman"/>
          <w:lang w:val="bs-Latn-BA"/>
        </w:rPr>
      </w:pPr>
      <w:r w:rsidRPr="002F596A">
        <w:rPr>
          <w:rFonts w:ascii="Cambria" w:eastAsia="Times New Roman" w:hAnsi="Cambria" w:cs="Times New Roman"/>
          <w:lang w:val="bs-Latn-BA"/>
        </w:rPr>
        <w:t>Prevencija nasilja nad ženama i djevojčicama</w:t>
      </w:r>
    </w:p>
    <w:p w:rsidR="002F596A" w:rsidRPr="002F596A" w:rsidRDefault="002F596A" w:rsidP="002F596A">
      <w:pPr>
        <w:numPr>
          <w:ilvl w:val="0"/>
          <w:numId w:val="11"/>
        </w:numPr>
        <w:spacing w:after="0" w:line="240" w:lineRule="auto"/>
        <w:jc w:val="both"/>
        <w:rPr>
          <w:rFonts w:ascii="Cambria" w:eastAsia="Times New Roman" w:hAnsi="Cambria" w:cs="Times New Roman"/>
          <w:lang w:val="bs-Latn-BA"/>
        </w:rPr>
      </w:pPr>
      <w:r w:rsidRPr="002F596A">
        <w:rPr>
          <w:rFonts w:ascii="Cambria" w:eastAsia="Times New Roman" w:hAnsi="Cambria" w:cs="Times New Roman"/>
          <w:lang w:val="bs-Latn-BA"/>
        </w:rPr>
        <w:t>Uloga univerziteta u promociji rodne ravnopravnosti</w:t>
      </w:r>
    </w:p>
    <w:p w:rsidR="002F596A" w:rsidRPr="002F596A" w:rsidRDefault="002F596A" w:rsidP="002F596A">
      <w:pPr>
        <w:numPr>
          <w:ilvl w:val="0"/>
          <w:numId w:val="11"/>
        </w:numPr>
        <w:spacing w:after="0" w:line="240" w:lineRule="auto"/>
        <w:jc w:val="both"/>
        <w:rPr>
          <w:rFonts w:ascii="Cambria" w:eastAsia="Times New Roman" w:hAnsi="Cambria" w:cs="Times New Roman"/>
          <w:lang w:val="bs-Latn-BA"/>
        </w:rPr>
      </w:pPr>
      <w:r w:rsidRPr="002F596A">
        <w:rPr>
          <w:rFonts w:ascii="Cambria" w:eastAsia="Times New Roman" w:hAnsi="Cambria" w:cs="Times New Roman"/>
          <w:lang w:val="bs-Latn-BA"/>
        </w:rPr>
        <w:t>Seksualno nasilje – uzroci, posljedice, pravni okvir i uloga institucija</w:t>
      </w:r>
    </w:p>
    <w:p w:rsidR="002F596A" w:rsidRPr="002F596A" w:rsidRDefault="002F596A" w:rsidP="002F596A">
      <w:pPr>
        <w:numPr>
          <w:ilvl w:val="0"/>
          <w:numId w:val="11"/>
        </w:numPr>
        <w:spacing w:after="0" w:line="240" w:lineRule="auto"/>
        <w:jc w:val="both"/>
        <w:rPr>
          <w:rFonts w:ascii="Cambria" w:eastAsia="Times New Roman" w:hAnsi="Cambria" w:cs="Times New Roman"/>
          <w:lang w:val="bs-Latn-BA"/>
        </w:rPr>
      </w:pPr>
      <w:r w:rsidRPr="002F596A">
        <w:rPr>
          <w:rFonts w:ascii="Cambria" w:eastAsia="Times New Roman" w:hAnsi="Cambria" w:cs="Times New Roman"/>
          <w:lang w:val="bs-Latn-BA"/>
        </w:rPr>
        <w:t>Nasilje nad ženama sa invaliditetom</w:t>
      </w:r>
    </w:p>
    <w:p w:rsidR="002F596A" w:rsidRPr="002F596A" w:rsidRDefault="002F596A" w:rsidP="002F596A">
      <w:pPr>
        <w:numPr>
          <w:ilvl w:val="0"/>
          <w:numId w:val="11"/>
        </w:numPr>
        <w:spacing w:after="0" w:line="240" w:lineRule="auto"/>
        <w:jc w:val="both"/>
        <w:rPr>
          <w:rFonts w:ascii="Cambria" w:eastAsia="Times New Roman" w:hAnsi="Cambria" w:cs="Times New Roman"/>
          <w:lang w:val="bs-Latn-BA"/>
        </w:rPr>
      </w:pPr>
      <w:r w:rsidRPr="002F596A">
        <w:rPr>
          <w:rFonts w:ascii="Cambria" w:eastAsia="Times New Roman" w:hAnsi="Cambria" w:cs="Times New Roman"/>
          <w:lang w:val="bs-Latn-BA"/>
        </w:rPr>
        <w:t>Maloljetničko prestupništvo i potreba za unapređenjem programa za period 2024–2028</w:t>
      </w:r>
    </w:p>
    <w:p w:rsidR="002F596A" w:rsidRPr="002F596A" w:rsidRDefault="002F596A" w:rsidP="002F596A">
      <w:pPr>
        <w:numPr>
          <w:ilvl w:val="0"/>
          <w:numId w:val="11"/>
        </w:numPr>
        <w:spacing w:after="0" w:line="240" w:lineRule="auto"/>
        <w:jc w:val="both"/>
        <w:rPr>
          <w:rFonts w:ascii="Cambria" w:eastAsia="Times New Roman" w:hAnsi="Cambria" w:cs="Times New Roman"/>
          <w:lang w:val="bs-Latn-BA"/>
        </w:rPr>
      </w:pPr>
      <w:r w:rsidRPr="002F596A">
        <w:rPr>
          <w:rFonts w:ascii="Cambria" w:eastAsia="Times New Roman" w:hAnsi="Cambria" w:cs="Times New Roman"/>
          <w:lang w:val="bs-Latn-BA"/>
        </w:rPr>
        <w:t>Izrada i revidiranje akcionih planova za prevenciju i borbu protiv nasilja u porodici (2024–2026)</w:t>
      </w:r>
    </w:p>
    <w:p w:rsidR="002F596A" w:rsidRPr="002F596A" w:rsidRDefault="002F596A" w:rsidP="002F596A">
      <w:pPr>
        <w:numPr>
          <w:ilvl w:val="0"/>
          <w:numId w:val="11"/>
        </w:numPr>
        <w:spacing w:after="0" w:line="240" w:lineRule="auto"/>
        <w:jc w:val="both"/>
        <w:rPr>
          <w:rFonts w:ascii="Cambria" w:eastAsia="Times New Roman" w:hAnsi="Cambria" w:cs="Times New Roman"/>
          <w:lang w:val="bs-Latn-BA"/>
        </w:rPr>
      </w:pPr>
      <w:r w:rsidRPr="002F596A">
        <w:rPr>
          <w:rFonts w:ascii="Cambria" w:eastAsia="Times New Roman" w:hAnsi="Cambria" w:cs="Times New Roman"/>
          <w:lang w:val="bs-Latn-BA"/>
        </w:rPr>
        <w:t>Strategija za unapređenje položaja starijih osoba u TK (2025–2030)</w:t>
      </w:r>
    </w:p>
    <w:p w:rsidR="002F596A" w:rsidRPr="00033459" w:rsidRDefault="002F596A" w:rsidP="002F596A">
      <w:pPr>
        <w:spacing w:after="0" w:line="240" w:lineRule="auto"/>
        <w:jc w:val="both"/>
        <w:rPr>
          <w:rFonts w:ascii="Cambria" w:eastAsia="Times New Roman" w:hAnsi="Cambria" w:cs="Times New Roman"/>
          <w:lang w:val="bs-Latn-BA"/>
        </w:rPr>
      </w:pPr>
    </w:p>
    <w:p w:rsidR="002F596A" w:rsidRPr="002F596A" w:rsidRDefault="002F596A" w:rsidP="002F596A">
      <w:pPr>
        <w:spacing w:after="0" w:line="240" w:lineRule="auto"/>
        <w:jc w:val="both"/>
        <w:rPr>
          <w:rFonts w:ascii="Cambria" w:eastAsia="Times New Roman" w:hAnsi="Cambria" w:cs="Times New Roman"/>
          <w:lang w:val="bs-Latn-BA"/>
        </w:rPr>
      </w:pPr>
      <w:r w:rsidRPr="002F596A">
        <w:rPr>
          <w:rFonts w:ascii="Cambria" w:eastAsia="Times New Roman" w:hAnsi="Cambria" w:cs="Times New Roman"/>
          <w:lang w:val="bs-Latn-BA"/>
        </w:rPr>
        <w:t>MUP TK je učestvovao u više stručnih radnih sastanaka, panel diskusija i okruglih stolova. Neki od ključnih događaja uključuju:</w:t>
      </w:r>
    </w:p>
    <w:p w:rsidR="002F596A" w:rsidRPr="002F596A" w:rsidRDefault="002F596A" w:rsidP="002F596A">
      <w:pPr>
        <w:numPr>
          <w:ilvl w:val="0"/>
          <w:numId w:val="12"/>
        </w:numPr>
        <w:spacing w:after="0" w:line="240" w:lineRule="auto"/>
        <w:jc w:val="both"/>
        <w:rPr>
          <w:rFonts w:ascii="Cambria" w:eastAsia="Times New Roman" w:hAnsi="Cambria" w:cs="Times New Roman"/>
          <w:lang w:val="bs-Latn-BA"/>
        </w:rPr>
      </w:pPr>
      <w:r w:rsidRPr="002F596A">
        <w:rPr>
          <w:rFonts w:ascii="Cambria" w:eastAsia="Times New Roman" w:hAnsi="Cambria" w:cs="Times New Roman"/>
          <w:lang w:val="bs-Latn-BA"/>
        </w:rPr>
        <w:t>Panel diskusija u okviru kampanje „Ne zatvarajmo oči – zaštitimo djecu na internetu“</w:t>
      </w:r>
    </w:p>
    <w:p w:rsidR="002F596A" w:rsidRPr="002F596A" w:rsidRDefault="002F596A" w:rsidP="002F596A">
      <w:pPr>
        <w:numPr>
          <w:ilvl w:val="0"/>
          <w:numId w:val="12"/>
        </w:numPr>
        <w:spacing w:after="0" w:line="240" w:lineRule="auto"/>
        <w:jc w:val="both"/>
        <w:rPr>
          <w:rFonts w:ascii="Cambria" w:eastAsia="Times New Roman" w:hAnsi="Cambria" w:cs="Times New Roman"/>
          <w:lang w:val="bs-Latn-BA"/>
        </w:rPr>
      </w:pPr>
      <w:r w:rsidRPr="002F596A">
        <w:rPr>
          <w:rFonts w:ascii="Cambria" w:eastAsia="Times New Roman" w:hAnsi="Cambria" w:cs="Times New Roman"/>
          <w:lang w:val="bs-Latn-BA"/>
        </w:rPr>
        <w:t>Okrugli stolovi o intersektorskom pristupu u prevenciji nasilja</w:t>
      </w:r>
    </w:p>
    <w:p w:rsidR="002F596A" w:rsidRPr="002F596A" w:rsidRDefault="002F596A" w:rsidP="002F596A">
      <w:pPr>
        <w:numPr>
          <w:ilvl w:val="0"/>
          <w:numId w:val="12"/>
        </w:numPr>
        <w:spacing w:after="0" w:line="240" w:lineRule="auto"/>
        <w:jc w:val="both"/>
        <w:rPr>
          <w:rFonts w:ascii="Cambria" w:eastAsia="Times New Roman" w:hAnsi="Cambria" w:cs="Times New Roman"/>
          <w:lang w:val="bs-Latn-BA"/>
        </w:rPr>
      </w:pPr>
      <w:r w:rsidRPr="002F596A">
        <w:rPr>
          <w:rFonts w:ascii="Cambria" w:eastAsia="Times New Roman" w:hAnsi="Cambria" w:cs="Times New Roman"/>
          <w:lang w:val="bs-Latn-BA"/>
        </w:rPr>
        <w:t>Sastanci u vezi sa Sporazumom o saradnji u projektu jačanja institucionalne zaštite žrtava</w:t>
      </w:r>
    </w:p>
    <w:p w:rsidR="002F596A" w:rsidRPr="002F596A" w:rsidRDefault="002F596A" w:rsidP="002F596A">
      <w:pPr>
        <w:numPr>
          <w:ilvl w:val="0"/>
          <w:numId w:val="12"/>
        </w:numPr>
        <w:spacing w:after="0" w:line="240" w:lineRule="auto"/>
        <w:jc w:val="both"/>
        <w:rPr>
          <w:rFonts w:ascii="Cambria" w:eastAsia="Times New Roman" w:hAnsi="Cambria" w:cs="Times New Roman"/>
          <w:lang w:val="bs-Latn-BA"/>
        </w:rPr>
      </w:pPr>
      <w:r w:rsidRPr="002F596A">
        <w:rPr>
          <w:rFonts w:ascii="Cambria" w:eastAsia="Times New Roman" w:hAnsi="Cambria" w:cs="Times New Roman"/>
          <w:lang w:val="bs-Latn-BA"/>
        </w:rPr>
        <w:t>Razmatranje informacija o maloljetnicima za 2023. godinu</w:t>
      </w:r>
    </w:p>
    <w:p w:rsidR="002F596A" w:rsidRPr="002F596A" w:rsidRDefault="002F596A" w:rsidP="002F596A">
      <w:pPr>
        <w:numPr>
          <w:ilvl w:val="0"/>
          <w:numId w:val="12"/>
        </w:numPr>
        <w:spacing w:after="0" w:line="240" w:lineRule="auto"/>
        <w:jc w:val="both"/>
        <w:rPr>
          <w:rFonts w:ascii="Cambria" w:eastAsia="Times New Roman" w:hAnsi="Cambria" w:cs="Times New Roman"/>
          <w:lang w:val="bs-Latn-BA"/>
        </w:rPr>
      </w:pPr>
      <w:r w:rsidRPr="002F596A">
        <w:rPr>
          <w:rFonts w:ascii="Cambria" w:eastAsia="Times New Roman" w:hAnsi="Cambria" w:cs="Times New Roman"/>
          <w:lang w:val="bs-Latn-BA"/>
        </w:rPr>
        <w:t>Učešće u radu Komisije za ravnopravnost spolova Skupštine TK</w:t>
      </w:r>
    </w:p>
    <w:p w:rsidR="002F596A" w:rsidRPr="00033459" w:rsidRDefault="002F596A" w:rsidP="002F596A">
      <w:pPr>
        <w:spacing w:after="0" w:line="240" w:lineRule="auto"/>
        <w:jc w:val="both"/>
        <w:rPr>
          <w:rFonts w:ascii="Cambria" w:eastAsia="Times New Roman" w:hAnsi="Cambria" w:cs="Times New Roman"/>
          <w:lang w:val="bs-Latn-BA"/>
        </w:rPr>
      </w:pPr>
    </w:p>
    <w:p w:rsidR="002F596A" w:rsidRPr="002F596A" w:rsidRDefault="002F596A" w:rsidP="002F596A">
      <w:pPr>
        <w:spacing w:after="0" w:line="240" w:lineRule="auto"/>
        <w:jc w:val="both"/>
        <w:rPr>
          <w:rFonts w:ascii="Cambria" w:eastAsia="Times New Roman" w:hAnsi="Cambria" w:cs="Times New Roman"/>
          <w:lang w:val="bs-Latn-BA"/>
        </w:rPr>
      </w:pPr>
      <w:r w:rsidRPr="002F596A">
        <w:rPr>
          <w:rFonts w:ascii="Cambria" w:eastAsia="Times New Roman" w:hAnsi="Cambria" w:cs="Times New Roman"/>
          <w:lang w:val="bs-Latn-BA"/>
        </w:rPr>
        <w:t>Organizovane su različite edukacije za policijske službenike na teme:</w:t>
      </w:r>
    </w:p>
    <w:p w:rsidR="002F596A" w:rsidRPr="002F596A" w:rsidRDefault="002F596A" w:rsidP="002F596A">
      <w:pPr>
        <w:numPr>
          <w:ilvl w:val="0"/>
          <w:numId w:val="13"/>
        </w:numPr>
        <w:spacing w:after="0" w:line="240" w:lineRule="auto"/>
        <w:jc w:val="both"/>
        <w:rPr>
          <w:rFonts w:ascii="Cambria" w:eastAsia="Times New Roman" w:hAnsi="Cambria" w:cs="Times New Roman"/>
          <w:lang w:val="bs-Latn-BA"/>
        </w:rPr>
      </w:pPr>
      <w:r w:rsidRPr="002F596A">
        <w:rPr>
          <w:rFonts w:ascii="Cambria" w:eastAsia="Times New Roman" w:hAnsi="Cambria" w:cs="Times New Roman"/>
          <w:lang w:val="bs-Latn-BA"/>
        </w:rPr>
        <w:t>Rodno zasnovano nasilje i seksualno uznemiravanje</w:t>
      </w:r>
    </w:p>
    <w:p w:rsidR="002F596A" w:rsidRPr="002F596A" w:rsidRDefault="002F596A" w:rsidP="002F596A">
      <w:pPr>
        <w:numPr>
          <w:ilvl w:val="0"/>
          <w:numId w:val="13"/>
        </w:numPr>
        <w:spacing w:after="0" w:line="240" w:lineRule="auto"/>
        <w:jc w:val="both"/>
        <w:rPr>
          <w:rFonts w:ascii="Cambria" w:eastAsia="Times New Roman" w:hAnsi="Cambria" w:cs="Times New Roman"/>
          <w:lang w:val="bs-Latn-BA"/>
        </w:rPr>
      </w:pPr>
      <w:r w:rsidRPr="002F596A">
        <w:rPr>
          <w:rFonts w:ascii="Cambria" w:eastAsia="Times New Roman" w:hAnsi="Cambria" w:cs="Times New Roman"/>
          <w:lang w:val="bs-Latn-BA"/>
        </w:rPr>
        <w:t>Procesuiranje krivičnih djela uznemiravanja</w:t>
      </w:r>
    </w:p>
    <w:p w:rsidR="002F596A" w:rsidRPr="002F596A" w:rsidRDefault="002F596A" w:rsidP="002F596A">
      <w:pPr>
        <w:numPr>
          <w:ilvl w:val="0"/>
          <w:numId w:val="13"/>
        </w:numPr>
        <w:spacing w:after="0" w:line="240" w:lineRule="auto"/>
        <w:jc w:val="both"/>
        <w:rPr>
          <w:rFonts w:ascii="Cambria" w:eastAsia="Times New Roman" w:hAnsi="Cambria" w:cs="Times New Roman"/>
          <w:lang w:val="bs-Latn-BA"/>
        </w:rPr>
      </w:pPr>
      <w:r w:rsidRPr="002F596A">
        <w:rPr>
          <w:rFonts w:ascii="Cambria" w:eastAsia="Times New Roman" w:hAnsi="Cambria" w:cs="Times New Roman"/>
          <w:lang w:val="bs-Latn-BA"/>
        </w:rPr>
        <w:t>Maloljetničko kazneno pravo – certifikacija za rad sa maloljetnicima</w:t>
      </w:r>
    </w:p>
    <w:p w:rsidR="002F596A" w:rsidRPr="002F596A" w:rsidRDefault="002F596A" w:rsidP="002F596A">
      <w:pPr>
        <w:numPr>
          <w:ilvl w:val="0"/>
          <w:numId w:val="13"/>
        </w:numPr>
        <w:spacing w:after="0" w:line="240" w:lineRule="auto"/>
        <w:jc w:val="both"/>
        <w:rPr>
          <w:rFonts w:ascii="Cambria" w:eastAsia="Times New Roman" w:hAnsi="Cambria" w:cs="Times New Roman"/>
          <w:lang w:val="bs-Latn-BA"/>
        </w:rPr>
      </w:pPr>
      <w:r w:rsidRPr="002F596A">
        <w:rPr>
          <w:rFonts w:ascii="Cambria" w:eastAsia="Times New Roman" w:hAnsi="Cambria" w:cs="Times New Roman"/>
          <w:lang w:val="bs-Latn-BA"/>
        </w:rPr>
        <w:t>Trening trenera za članove Skupštine TK i Koordinacionog tijela za prevenciju i borbu protiv nasilja u porodici, koji su rezultirali usvajanjem Rezolucije o borbi protiv svih oblika nasilja nad ženama</w:t>
      </w:r>
    </w:p>
    <w:p w:rsidR="002F596A" w:rsidRPr="00033459" w:rsidRDefault="002F596A" w:rsidP="002F596A">
      <w:pPr>
        <w:spacing w:line="240" w:lineRule="auto"/>
        <w:jc w:val="both"/>
        <w:rPr>
          <w:rFonts w:ascii="Cambria" w:eastAsia="Times New Roman" w:hAnsi="Cambria" w:cs="Times New Roman"/>
          <w:lang w:val="bs-Latn-BA"/>
        </w:rPr>
      </w:pPr>
    </w:p>
    <w:p w:rsidR="00993B1F" w:rsidRPr="00033459" w:rsidRDefault="00942562" w:rsidP="002F596A">
      <w:pPr>
        <w:spacing w:line="240" w:lineRule="auto"/>
        <w:jc w:val="both"/>
        <w:rPr>
          <w:rFonts w:ascii="Cambria" w:eastAsia="Times New Roman" w:hAnsi="Cambria" w:cs="Times New Roman"/>
          <w:lang w:val="bs-Latn-BA"/>
        </w:rPr>
      </w:pPr>
      <w:r w:rsidRPr="00033459">
        <w:rPr>
          <w:rFonts w:ascii="Cambria" w:eastAsia="Times New Roman" w:hAnsi="Cambria" w:cs="Times New Roman"/>
          <w:lang w:val="bs-Latn-BA"/>
        </w:rPr>
        <w:t>Vlada Tuzlanskog kantona je odlukom broj: 02/1-31-13932/24 od 12.06.2024. godine i ove godine imenovala članove Koordinacionog tima za prevenciju i borbu protiv nasilja u porodici za područje Tuzlanskog kantona. Koordinacioni tim (KT) čine predstavnice: Ministarstva za rad, socijalnu politiku i povratak, Ministarstva unutrašnjih poslova, Ministarstva obrazovanja i nauke, Ministarstva za kulturu, sport i mlade, Ministarstva zdravstva, Ministarstva pravosuđa i uprave, Pedagoškog zavoda TK,</w:t>
      </w:r>
      <w:r w:rsidR="00E257D2" w:rsidRPr="00033459">
        <w:rPr>
          <w:rFonts w:ascii="Cambria" w:eastAsia="Times New Roman" w:hAnsi="Cambria" w:cs="Times New Roman"/>
          <w:lang w:val="bs-Latn-BA"/>
        </w:rPr>
        <w:t xml:space="preserve"> </w:t>
      </w:r>
      <w:r w:rsidRPr="00033459">
        <w:rPr>
          <w:rFonts w:ascii="Cambria" w:eastAsia="Times New Roman" w:hAnsi="Cambria" w:cs="Times New Roman"/>
          <w:lang w:val="bs-Latn-BA"/>
        </w:rPr>
        <w:t xml:space="preserve">Kantonalnog tužilaštva Tuzlanskog kantona, Foruma direktora centara za socijalni rad TK i Udruženja građana Vive Žene Tuzla. </w:t>
      </w:r>
    </w:p>
    <w:p w:rsidR="00993B1F" w:rsidRPr="00033459" w:rsidRDefault="00942562" w:rsidP="002F596A">
      <w:pPr>
        <w:spacing w:line="240" w:lineRule="auto"/>
        <w:jc w:val="both"/>
        <w:rPr>
          <w:rFonts w:ascii="Cambria" w:eastAsia="Times New Roman" w:hAnsi="Cambria" w:cs="Times New Roman"/>
          <w:lang w:val="bs-Latn-BA"/>
        </w:rPr>
      </w:pPr>
      <w:r w:rsidRPr="00033459">
        <w:rPr>
          <w:rFonts w:ascii="Cambria" w:eastAsia="Times New Roman" w:hAnsi="Cambria" w:cs="Times New Roman"/>
          <w:lang w:val="bs-Latn-BA"/>
        </w:rPr>
        <w:lastRenderedPageBreak/>
        <w:t xml:space="preserve">Vlada TK redovno razmatra i usvaja godišnje izvještaje o </w:t>
      </w:r>
      <w:r w:rsidR="00E542BE" w:rsidRPr="00033459">
        <w:rPr>
          <w:rFonts w:ascii="Cambria" w:eastAsia="Times New Roman" w:hAnsi="Cambria" w:cs="Times New Roman"/>
          <w:lang w:val="bs-Latn-BA"/>
        </w:rPr>
        <w:t>realizaciji</w:t>
      </w:r>
      <w:r w:rsidRPr="00033459">
        <w:rPr>
          <w:rFonts w:ascii="Cambria" w:eastAsia="Times New Roman" w:hAnsi="Cambria" w:cs="Times New Roman"/>
          <w:lang w:val="bs-Latn-BA"/>
        </w:rPr>
        <w:t xml:space="preserve"> Akcionog plana. Tako je Izvještaj o realizaciji </w:t>
      </w:r>
      <w:r w:rsidR="00E542BE" w:rsidRPr="00033459">
        <w:rPr>
          <w:rFonts w:ascii="Cambria" w:eastAsia="Times New Roman" w:hAnsi="Cambria" w:cs="Times New Roman"/>
          <w:lang w:val="bs-Latn-BA"/>
        </w:rPr>
        <w:t>Akcionog</w:t>
      </w:r>
      <w:r w:rsidRPr="00033459">
        <w:rPr>
          <w:rFonts w:ascii="Cambria" w:eastAsia="Times New Roman" w:hAnsi="Cambria" w:cs="Times New Roman"/>
          <w:lang w:val="bs-Latn-BA"/>
        </w:rPr>
        <w:t xml:space="preserve"> plana za prevenciju i borbu protiv nasilja u porodici za područje Tuzlanskog kantona za 2023. godinu Usvojila Vlada TK zaključkom broj: 09/1-31-292/24 od 12.06.2024. godine. Radi se jedan izvještaj godišnje.</w:t>
      </w:r>
    </w:p>
    <w:p w:rsidR="002F596A" w:rsidRPr="00033459" w:rsidRDefault="002F596A" w:rsidP="002F596A">
      <w:pPr>
        <w:spacing w:line="240" w:lineRule="auto"/>
        <w:jc w:val="both"/>
        <w:rPr>
          <w:rFonts w:ascii="Cambria" w:eastAsia="Times New Roman" w:hAnsi="Cambria" w:cs="Times New Roman"/>
          <w:lang w:val="bs-Latn-BA"/>
        </w:rPr>
      </w:pPr>
    </w:p>
    <w:p w:rsidR="00993B1F" w:rsidRDefault="00942562" w:rsidP="002F596A">
      <w:pPr>
        <w:pStyle w:val="Heading2"/>
      </w:pPr>
      <w:bookmarkStart w:id="22" w:name="_heading=h.26in1rg" w:colFirst="0" w:colLast="0"/>
      <w:bookmarkStart w:id="23" w:name="_Toc195186410"/>
      <w:bookmarkEnd w:id="22"/>
      <w:r w:rsidRPr="00033459">
        <w:t>2.4. Osigurana ravnopravna zastupljenost osoba muškog i ženskog spola u tijelima nad kojima Kanton vrši nadzor</w:t>
      </w:r>
      <w:bookmarkEnd w:id="23"/>
    </w:p>
    <w:p w:rsidR="00E542BE" w:rsidRPr="00E542BE" w:rsidRDefault="00E542BE" w:rsidP="00E542BE">
      <w:pPr>
        <w:rPr>
          <w:lang w:val="bs-Latn-BA"/>
        </w:rPr>
      </w:pPr>
    </w:p>
    <w:p w:rsidR="00993B1F" w:rsidRPr="00033459" w:rsidRDefault="00942562" w:rsidP="00E542BE">
      <w:pPr>
        <w:spacing w:line="240" w:lineRule="auto"/>
        <w:jc w:val="both"/>
        <w:rPr>
          <w:rFonts w:ascii="Cambria" w:eastAsia="Times New Roman" w:hAnsi="Cambria" w:cs="Times New Roman"/>
          <w:lang w:val="bs-Latn-BA"/>
        </w:rPr>
      </w:pPr>
      <w:r w:rsidRPr="00033459">
        <w:rPr>
          <w:rFonts w:ascii="Cambria" w:eastAsia="Times New Roman" w:hAnsi="Cambria" w:cs="Times New Roman"/>
          <w:lang w:val="bs-Latn-BA"/>
        </w:rPr>
        <w:t>Bosna i Hercegovina je ostvarila značajan napredak na usklađivanju svog zakonodavnog okvira sa međunarodnim standardima i obavezama. Zakon o ravnopravnosti spolova Bosne i Hercegovine je usvojen 2003. godine, a izmjene i dopune su usvojene 2009. godine, pri čemu su poboljšane definicije i provedbene odredbe. Prečišćena verzija je objavljena 2010. godine. Zakon o ravnopravnosti spolova posebno obrađuje jednaku zastupljenost i javni život; definira da postoji jednaka zastupljenost muškaraca i žena ukoliko je jedan od spolova zastupljen sa najmanje 40% u tijelima javnog sektora na svim nivoima vlasti u Bosni i Hercegovini (državnom, entitetskom, kantonalnom i općinskom).</w:t>
      </w:r>
    </w:p>
    <w:p w:rsidR="00033459" w:rsidRPr="00033459" w:rsidRDefault="00942562" w:rsidP="002F596A">
      <w:pPr>
        <w:spacing w:line="276" w:lineRule="auto"/>
        <w:jc w:val="both"/>
        <w:rPr>
          <w:rFonts w:ascii="Cambria" w:eastAsia="Times New Roman" w:hAnsi="Cambria" w:cs="Times New Roman"/>
          <w:lang w:val="bs-Latn-BA"/>
        </w:rPr>
      </w:pPr>
      <w:r w:rsidRPr="00033459">
        <w:rPr>
          <w:rFonts w:ascii="Cambria" w:eastAsia="Times New Roman" w:hAnsi="Cambria" w:cs="Times New Roman"/>
          <w:lang w:val="bs-Latn-BA"/>
        </w:rPr>
        <w:t>U skupštini TK trenutno je izabrano 35 poslanika, te je u aktuelnom sazivu izabrano 13 osoba ženskog spola odnosno 37% i 22 osobe muškog spola ili 63%.</w:t>
      </w:r>
      <w:r w:rsidR="00E257D2" w:rsidRPr="00033459">
        <w:rPr>
          <w:rFonts w:ascii="Cambria" w:eastAsia="Times New Roman" w:hAnsi="Cambria" w:cs="Times New Roman"/>
          <w:lang w:val="bs-Latn-BA"/>
        </w:rPr>
        <w:t xml:space="preserve"> Ovaj prosjek veći od učešća žena na drugim nivoima vlasti i iznad je prosjeka za kantonalne skupštine.</w:t>
      </w:r>
      <w:r w:rsidRPr="00033459">
        <w:rPr>
          <w:rFonts w:ascii="Cambria" w:eastAsia="Times New Roman" w:hAnsi="Cambria" w:cs="Times New Roman"/>
          <w:lang w:val="bs-Latn-BA"/>
        </w:rPr>
        <w:t xml:space="preserve"> </w:t>
      </w:r>
    </w:p>
    <w:p w:rsidR="00E542BE" w:rsidRPr="00033459" w:rsidRDefault="00E542BE" w:rsidP="002F596A">
      <w:pPr>
        <w:spacing w:line="276" w:lineRule="auto"/>
        <w:jc w:val="both"/>
        <w:rPr>
          <w:rFonts w:ascii="Cambria" w:eastAsia="Times New Roman" w:hAnsi="Cambria" w:cs="Times New Roman"/>
          <w:lang w:val="bs-Latn-BA"/>
        </w:rPr>
      </w:pPr>
    </w:p>
    <w:p w:rsidR="00033459" w:rsidRDefault="00942562" w:rsidP="002F596A">
      <w:pPr>
        <w:spacing w:line="276" w:lineRule="auto"/>
        <w:jc w:val="both"/>
        <w:rPr>
          <w:rFonts w:ascii="Cambria" w:eastAsia="Times New Roman" w:hAnsi="Cambria" w:cs="Times New Roman"/>
          <w:lang w:val="bs-Latn-BA"/>
        </w:rPr>
      </w:pPr>
      <w:r w:rsidRPr="00033459">
        <w:rPr>
          <w:rFonts w:ascii="Cambria" w:eastAsia="Times New Roman" w:hAnsi="Cambria" w:cs="Times New Roman"/>
          <w:lang w:val="bs-Latn-BA"/>
        </w:rPr>
        <w:t>Predsjednik Skupštine je osoba muškog spola i ima dva zamjenika i to jedan zamjenik je muškog spola dok je druga ženskog spola.</w:t>
      </w:r>
      <w:r w:rsidR="00033459" w:rsidRPr="00033459">
        <w:rPr>
          <w:rFonts w:ascii="Cambria" w:eastAsia="Times New Roman" w:hAnsi="Cambria" w:cs="Times New Roman"/>
          <w:lang w:val="bs-Latn-BA"/>
        </w:rPr>
        <w:t xml:space="preserve"> </w:t>
      </w:r>
      <w:r w:rsidRPr="00033459">
        <w:rPr>
          <w:rFonts w:ascii="Cambria" w:eastAsia="Times New Roman" w:hAnsi="Cambria" w:cs="Times New Roman"/>
          <w:lang w:val="bs-Latn-BA"/>
        </w:rPr>
        <w:t>Osobe ženskog spola su predsjednici u 5 radnih tijela Skupštine Tuzlanskog kantona, a osobe muškog spola su predsjednici u 10 radnih tijela Skupštine Tuzlanskog kantona.</w:t>
      </w:r>
    </w:p>
    <w:p w:rsidR="00E0089A" w:rsidRDefault="00E0089A" w:rsidP="002F596A">
      <w:pPr>
        <w:spacing w:line="276" w:lineRule="auto"/>
        <w:jc w:val="both"/>
        <w:rPr>
          <w:rFonts w:ascii="Cambria" w:eastAsia="Times New Roman" w:hAnsi="Cambria" w:cs="Times New Roman"/>
          <w:lang w:val="bs-Latn-BA"/>
        </w:rPr>
      </w:pPr>
      <w:r>
        <w:rPr>
          <w:rFonts w:ascii="Cambria" w:eastAsia="Times New Roman" w:hAnsi="Cambria" w:cs="Times New Roman"/>
          <w:b/>
          <w:lang w:val="bs-Latn-BA"/>
        </w:rPr>
        <w:t>Tabela br: 2</w:t>
      </w:r>
      <w:r w:rsidRPr="00E0089A">
        <w:rPr>
          <w:rFonts w:ascii="Cambria" w:eastAsia="Times New Roman" w:hAnsi="Cambria" w:cs="Times New Roman"/>
          <w:b/>
          <w:lang w:val="bs-Latn-BA"/>
        </w:rPr>
        <w:t xml:space="preserve">. </w:t>
      </w:r>
      <w:r w:rsidRPr="00E0089A">
        <w:rPr>
          <w:rFonts w:ascii="Cambria" w:eastAsia="Times New Roman" w:hAnsi="Cambria" w:cs="Times New Roman"/>
          <w:lang w:val="bs-Latn-BA"/>
        </w:rPr>
        <w:t>pregled zastupljenosti osoba muškog i ženskog spola u Skupštini Tuzlanskog kantona i u radnim tijelima Skupštine Tuzlanskog kantona</w:t>
      </w:r>
    </w:p>
    <w:tbl>
      <w:tblPr>
        <w:tblStyle w:val="GridTable3-Accent1"/>
        <w:tblpPr w:leftFromText="180" w:rightFromText="180" w:topFromText="180" w:bottomFromText="180" w:vertAnchor="text" w:horzAnchor="margin" w:tblpXSpec="center" w:tblpY="243"/>
        <w:tblW w:w="8805" w:type="dxa"/>
        <w:tblLayout w:type="fixed"/>
        <w:tblLook w:val="0600" w:firstRow="0" w:lastRow="0" w:firstColumn="0" w:lastColumn="0" w:noHBand="1" w:noVBand="1"/>
      </w:tblPr>
      <w:tblGrid>
        <w:gridCol w:w="4742"/>
        <w:gridCol w:w="1477"/>
        <w:gridCol w:w="1249"/>
        <w:gridCol w:w="1337"/>
      </w:tblGrid>
      <w:tr w:rsidR="00E0089A" w:rsidRPr="00033459" w:rsidTr="00E0089A">
        <w:trPr>
          <w:trHeight w:val="649"/>
        </w:trPr>
        <w:tc>
          <w:tcPr>
            <w:tcW w:w="4742" w:type="dxa"/>
            <w:shd w:val="clear" w:color="auto" w:fill="44546A" w:themeFill="text2"/>
          </w:tcPr>
          <w:p w:rsidR="00E0089A" w:rsidRPr="00033459" w:rsidRDefault="00E0089A" w:rsidP="00E0089A">
            <w:pPr>
              <w:spacing w:line="276" w:lineRule="auto"/>
              <w:jc w:val="both"/>
              <w:rPr>
                <w:rFonts w:ascii="Cambria" w:eastAsia="Times New Roman" w:hAnsi="Cambria" w:cs="Times New Roman"/>
                <w:b/>
                <w:bCs/>
                <w:color w:val="FFFFFF" w:themeColor="background1"/>
                <w:lang w:val="bs-Latn-BA"/>
              </w:rPr>
            </w:pPr>
            <w:r w:rsidRPr="00033459">
              <w:rPr>
                <w:rFonts w:ascii="Cambria" w:eastAsia="Times New Roman" w:hAnsi="Cambria" w:cs="Times New Roman"/>
                <w:b/>
                <w:bCs/>
                <w:color w:val="FFFFFF" w:themeColor="background1"/>
                <w:lang w:val="bs-Latn-BA"/>
              </w:rPr>
              <w:t>Naziv tijela</w:t>
            </w:r>
          </w:p>
        </w:tc>
        <w:tc>
          <w:tcPr>
            <w:tcW w:w="1477" w:type="dxa"/>
            <w:shd w:val="clear" w:color="auto" w:fill="44546A" w:themeFill="text2"/>
          </w:tcPr>
          <w:p w:rsidR="00E0089A" w:rsidRPr="00033459" w:rsidRDefault="00E0089A" w:rsidP="00E0089A">
            <w:pPr>
              <w:spacing w:line="276" w:lineRule="auto"/>
              <w:jc w:val="center"/>
              <w:rPr>
                <w:rFonts w:ascii="Cambria" w:eastAsia="Times New Roman" w:hAnsi="Cambria" w:cs="Times New Roman"/>
                <w:b/>
                <w:bCs/>
                <w:color w:val="FFFFFF" w:themeColor="background1"/>
                <w:lang w:val="bs-Latn-BA"/>
              </w:rPr>
            </w:pPr>
            <w:r w:rsidRPr="00033459">
              <w:rPr>
                <w:rFonts w:ascii="Cambria" w:eastAsia="Times New Roman" w:hAnsi="Cambria" w:cs="Times New Roman"/>
                <w:b/>
                <w:bCs/>
                <w:color w:val="FFFFFF" w:themeColor="background1"/>
                <w:lang w:val="bs-Latn-BA"/>
              </w:rPr>
              <w:t>M</w:t>
            </w:r>
          </w:p>
        </w:tc>
        <w:tc>
          <w:tcPr>
            <w:tcW w:w="1249" w:type="dxa"/>
            <w:shd w:val="clear" w:color="auto" w:fill="44546A" w:themeFill="text2"/>
          </w:tcPr>
          <w:p w:rsidR="00E0089A" w:rsidRPr="00033459" w:rsidRDefault="00E0089A" w:rsidP="00E0089A">
            <w:pPr>
              <w:spacing w:line="276" w:lineRule="auto"/>
              <w:jc w:val="center"/>
              <w:rPr>
                <w:rFonts w:ascii="Cambria" w:eastAsia="Times New Roman" w:hAnsi="Cambria" w:cs="Times New Roman"/>
                <w:b/>
                <w:bCs/>
                <w:color w:val="FFFFFF" w:themeColor="background1"/>
                <w:lang w:val="bs-Latn-BA"/>
              </w:rPr>
            </w:pPr>
            <w:r w:rsidRPr="00033459">
              <w:rPr>
                <w:rFonts w:ascii="Cambria" w:eastAsia="Times New Roman" w:hAnsi="Cambria" w:cs="Times New Roman"/>
                <w:b/>
                <w:bCs/>
                <w:color w:val="FFFFFF" w:themeColor="background1"/>
                <w:lang w:val="bs-Latn-BA"/>
              </w:rPr>
              <w:t>Ž</w:t>
            </w:r>
          </w:p>
        </w:tc>
        <w:tc>
          <w:tcPr>
            <w:tcW w:w="1337" w:type="dxa"/>
            <w:shd w:val="clear" w:color="auto" w:fill="44546A" w:themeFill="text2"/>
          </w:tcPr>
          <w:p w:rsidR="00E0089A" w:rsidRPr="00033459" w:rsidRDefault="00E0089A" w:rsidP="00E0089A">
            <w:pPr>
              <w:spacing w:line="276" w:lineRule="auto"/>
              <w:jc w:val="center"/>
              <w:rPr>
                <w:rFonts w:ascii="Cambria" w:eastAsia="Times New Roman" w:hAnsi="Cambria" w:cs="Times New Roman"/>
                <w:b/>
                <w:bCs/>
                <w:color w:val="FFFFFF" w:themeColor="background1"/>
                <w:lang w:val="bs-Latn-BA"/>
              </w:rPr>
            </w:pPr>
            <w:r w:rsidRPr="00033459">
              <w:rPr>
                <w:rFonts w:ascii="Cambria" w:eastAsia="Times New Roman" w:hAnsi="Cambria" w:cs="Times New Roman"/>
                <w:b/>
                <w:bCs/>
                <w:color w:val="FFFFFF" w:themeColor="background1"/>
                <w:lang w:val="bs-Latn-BA"/>
              </w:rPr>
              <w:t>Ukupno</w:t>
            </w:r>
          </w:p>
        </w:tc>
      </w:tr>
      <w:tr w:rsidR="00E0089A" w:rsidRPr="00033459" w:rsidTr="00E0089A">
        <w:trPr>
          <w:trHeight w:val="426"/>
        </w:trPr>
        <w:tc>
          <w:tcPr>
            <w:tcW w:w="4742" w:type="dxa"/>
          </w:tcPr>
          <w:p w:rsidR="00E0089A" w:rsidRPr="00033459" w:rsidRDefault="00E0089A" w:rsidP="00E0089A">
            <w:pPr>
              <w:spacing w:line="276" w:lineRule="auto"/>
              <w:jc w:val="both"/>
              <w:rPr>
                <w:rFonts w:ascii="Cambria" w:eastAsia="Times New Roman" w:hAnsi="Cambria" w:cs="Times New Roman"/>
                <w:lang w:val="bs-Latn-BA"/>
              </w:rPr>
            </w:pPr>
            <w:r w:rsidRPr="00033459">
              <w:rPr>
                <w:rFonts w:ascii="Cambria" w:eastAsia="Times New Roman" w:hAnsi="Cambria" w:cs="Times New Roman"/>
                <w:lang w:val="bs-Latn-BA"/>
              </w:rPr>
              <w:t>Skupština Tuzlanskog kantona</w:t>
            </w:r>
          </w:p>
        </w:tc>
        <w:tc>
          <w:tcPr>
            <w:tcW w:w="1477" w:type="dxa"/>
            <w:vAlign w:val="center"/>
          </w:tcPr>
          <w:p w:rsidR="00E0089A" w:rsidRPr="00033459" w:rsidRDefault="00E0089A" w:rsidP="00E0089A">
            <w:pPr>
              <w:spacing w:line="276" w:lineRule="auto"/>
              <w:jc w:val="center"/>
              <w:rPr>
                <w:rFonts w:ascii="Cambria" w:eastAsia="Times New Roman" w:hAnsi="Cambria" w:cs="Times New Roman"/>
                <w:b/>
                <w:bCs/>
                <w:lang w:val="bs-Latn-BA"/>
              </w:rPr>
            </w:pPr>
            <w:r w:rsidRPr="00033459">
              <w:rPr>
                <w:rFonts w:ascii="Cambria" w:eastAsia="Times New Roman" w:hAnsi="Cambria" w:cs="Times New Roman"/>
                <w:b/>
                <w:bCs/>
                <w:lang w:val="bs-Latn-BA"/>
              </w:rPr>
              <w:t>22</w:t>
            </w:r>
          </w:p>
        </w:tc>
        <w:tc>
          <w:tcPr>
            <w:tcW w:w="1249" w:type="dxa"/>
            <w:vAlign w:val="center"/>
          </w:tcPr>
          <w:p w:rsidR="00E0089A" w:rsidRPr="00033459" w:rsidRDefault="00E0089A" w:rsidP="00E0089A">
            <w:pPr>
              <w:spacing w:line="276" w:lineRule="auto"/>
              <w:jc w:val="center"/>
              <w:rPr>
                <w:rFonts w:ascii="Cambria" w:eastAsia="Times New Roman" w:hAnsi="Cambria" w:cs="Times New Roman"/>
                <w:b/>
                <w:bCs/>
                <w:lang w:val="bs-Latn-BA"/>
              </w:rPr>
            </w:pPr>
            <w:r w:rsidRPr="00033459">
              <w:rPr>
                <w:rFonts w:ascii="Cambria" w:eastAsia="Times New Roman" w:hAnsi="Cambria" w:cs="Times New Roman"/>
                <w:b/>
                <w:bCs/>
                <w:lang w:val="bs-Latn-BA"/>
              </w:rPr>
              <w:t>13</w:t>
            </w:r>
          </w:p>
        </w:tc>
        <w:tc>
          <w:tcPr>
            <w:tcW w:w="1337" w:type="dxa"/>
            <w:vAlign w:val="center"/>
          </w:tcPr>
          <w:p w:rsidR="00E0089A" w:rsidRPr="00033459" w:rsidRDefault="00E0089A" w:rsidP="00E0089A">
            <w:pPr>
              <w:spacing w:line="276" w:lineRule="auto"/>
              <w:jc w:val="center"/>
              <w:rPr>
                <w:rFonts w:ascii="Cambria" w:eastAsia="Times New Roman" w:hAnsi="Cambria" w:cs="Times New Roman"/>
                <w:b/>
                <w:bCs/>
                <w:lang w:val="bs-Latn-BA"/>
              </w:rPr>
            </w:pPr>
            <w:r w:rsidRPr="00033459">
              <w:rPr>
                <w:rFonts w:ascii="Cambria" w:eastAsia="Times New Roman" w:hAnsi="Cambria" w:cs="Times New Roman"/>
                <w:b/>
                <w:bCs/>
                <w:lang w:val="bs-Latn-BA"/>
              </w:rPr>
              <w:t>35</w:t>
            </w:r>
          </w:p>
        </w:tc>
      </w:tr>
      <w:tr w:rsidR="00E0089A" w:rsidRPr="00033459" w:rsidTr="00E0089A">
        <w:trPr>
          <w:trHeight w:val="426"/>
        </w:trPr>
        <w:tc>
          <w:tcPr>
            <w:tcW w:w="4742" w:type="dxa"/>
          </w:tcPr>
          <w:p w:rsidR="00E0089A" w:rsidRPr="00033459" w:rsidRDefault="00E0089A" w:rsidP="00E0089A">
            <w:pPr>
              <w:spacing w:line="276" w:lineRule="auto"/>
              <w:jc w:val="both"/>
              <w:rPr>
                <w:rFonts w:ascii="Cambria" w:eastAsia="Times New Roman" w:hAnsi="Cambria" w:cs="Times New Roman"/>
                <w:lang w:val="bs-Latn-BA"/>
              </w:rPr>
            </w:pPr>
            <w:r w:rsidRPr="00033459">
              <w:rPr>
                <w:rFonts w:ascii="Cambria" w:eastAsia="Times New Roman" w:hAnsi="Cambria" w:cs="Times New Roman"/>
                <w:lang w:val="bs-Latn-BA"/>
              </w:rPr>
              <w:t>Predsjednik skupštine Tuzlanskog kantona</w:t>
            </w:r>
          </w:p>
        </w:tc>
        <w:tc>
          <w:tcPr>
            <w:tcW w:w="1477" w:type="dxa"/>
            <w:vAlign w:val="center"/>
          </w:tcPr>
          <w:p w:rsidR="00E0089A" w:rsidRPr="00033459" w:rsidRDefault="00E0089A" w:rsidP="00E0089A">
            <w:pPr>
              <w:spacing w:line="276" w:lineRule="auto"/>
              <w:jc w:val="center"/>
              <w:rPr>
                <w:rFonts w:ascii="Cambria" w:eastAsia="Times New Roman" w:hAnsi="Cambria" w:cs="Times New Roman"/>
                <w:b/>
                <w:bCs/>
                <w:lang w:val="bs-Latn-BA"/>
              </w:rPr>
            </w:pPr>
            <w:r w:rsidRPr="00033459">
              <w:rPr>
                <w:rFonts w:ascii="Cambria" w:eastAsia="Times New Roman" w:hAnsi="Cambria" w:cs="Times New Roman"/>
                <w:b/>
                <w:bCs/>
                <w:lang w:val="bs-Latn-BA"/>
              </w:rPr>
              <w:t>1</w:t>
            </w:r>
          </w:p>
        </w:tc>
        <w:tc>
          <w:tcPr>
            <w:tcW w:w="1249" w:type="dxa"/>
            <w:vAlign w:val="center"/>
          </w:tcPr>
          <w:p w:rsidR="00E0089A" w:rsidRPr="00033459" w:rsidRDefault="00E0089A" w:rsidP="00E0089A">
            <w:pPr>
              <w:spacing w:line="276" w:lineRule="auto"/>
              <w:jc w:val="center"/>
              <w:rPr>
                <w:rFonts w:ascii="Cambria" w:eastAsia="Times New Roman" w:hAnsi="Cambria" w:cs="Times New Roman"/>
                <w:b/>
                <w:bCs/>
                <w:lang w:val="bs-Latn-BA"/>
              </w:rPr>
            </w:pPr>
            <w:r w:rsidRPr="00033459">
              <w:rPr>
                <w:rFonts w:ascii="Cambria" w:eastAsia="Times New Roman" w:hAnsi="Cambria" w:cs="Times New Roman"/>
                <w:b/>
                <w:bCs/>
                <w:lang w:val="bs-Latn-BA"/>
              </w:rPr>
              <w:t>0</w:t>
            </w:r>
          </w:p>
        </w:tc>
        <w:tc>
          <w:tcPr>
            <w:tcW w:w="1337" w:type="dxa"/>
            <w:vAlign w:val="center"/>
          </w:tcPr>
          <w:p w:rsidR="00E0089A" w:rsidRPr="00033459" w:rsidRDefault="00E0089A" w:rsidP="00E0089A">
            <w:pPr>
              <w:spacing w:line="276" w:lineRule="auto"/>
              <w:jc w:val="center"/>
              <w:rPr>
                <w:rFonts w:ascii="Cambria" w:eastAsia="Times New Roman" w:hAnsi="Cambria" w:cs="Times New Roman"/>
                <w:b/>
                <w:bCs/>
                <w:lang w:val="bs-Latn-BA"/>
              </w:rPr>
            </w:pPr>
            <w:r w:rsidRPr="00033459">
              <w:rPr>
                <w:rFonts w:ascii="Cambria" w:eastAsia="Times New Roman" w:hAnsi="Cambria" w:cs="Times New Roman"/>
                <w:b/>
                <w:bCs/>
                <w:lang w:val="bs-Latn-BA"/>
              </w:rPr>
              <w:t>1</w:t>
            </w:r>
          </w:p>
        </w:tc>
      </w:tr>
      <w:tr w:rsidR="00E0089A" w:rsidRPr="00033459" w:rsidTr="00E0089A">
        <w:trPr>
          <w:trHeight w:val="423"/>
        </w:trPr>
        <w:tc>
          <w:tcPr>
            <w:tcW w:w="4742" w:type="dxa"/>
          </w:tcPr>
          <w:p w:rsidR="00E0089A" w:rsidRPr="00033459" w:rsidRDefault="00E0089A" w:rsidP="00E0089A">
            <w:pPr>
              <w:spacing w:line="276" w:lineRule="auto"/>
              <w:jc w:val="both"/>
              <w:rPr>
                <w:rFonts w:ascii="Cambria" w:eastAsia="Times New Roman" w:hAnsi="Cambria" w:cs="Times New Roman"/>
                <w:lang w:val="bs-Latn-BA"/>
              </w:rPr>
            </w:pPr>
            <w:r w:rsidRPr="00033459">
              <w:rPr>
                <w:rFonts w:ascii="Cambria" w:eastAsia="Times New Roman" w:hAnsi="Cambria" w:cs="Times New Roman"/>
                <w:lang w:val="bs-Latn-BA"/>
              </w:rPr>
              <w:t>Zamjenik predsjednika Skupštine Tuzlanskog kantona</w:t>
            </w:r>
          </w:p>
        </w:tc>
        <w:tc>
          <w:tcPr>
            <w:tcW w:w="1477" w:type="dxa"/>
            <w:vAlign w:val="center"/>
          </w:tcPr>
          <w:p w:rsidR="00E0089A" w:rsidRPr="00033459" w:rsidRDefault="00E0089A" w:rsidP="00E0089A">
            <w:pPr>
              <w:spacing w:line="276" w:lineRule="auto"/>
              <w:jc w:val="center"/>
              <w:rPr>
                <w:rFonts w:ascii="Cambria" w:eastAsia="Times New Roman" w:hAnsi="Cambria" w:cs="Times New Roman"/>
                <w:b/>
                <w:bCs/>
                <w:lang w:val="bs-Latn-BA"/>
              </w:rPr>
            </w:pPr>
            <w:r w:rsidRPr="00033459">
              <w:rPr>
                <w:rFonts w:ascii="Cambria" w:eastAsia="Times New Roman" w:hAnsi="Cambria" w:cs="Times New Roman"/>
                <w:b/>
                <w:bCs/>
                <w:lang w:val="bs-Latn-BA"/>
              </w:rPr>
              <w:t>1</w:t>
            </w:r>
          </w:p>
        </w:tc>
        <w:tc>
          <w:tcPr>
            <w:tcW w:w="1249" w:type="dxa"/>
            <w:vAlign w:val="center"/>
          </w:tcPr>
          <w:p w:rsidR="00E0089A" w:rsidRPr="00033459" w:rsidRDefault="00E0089A" w:rsidP="00E0089A">
            <w:pPr>
              <w:spacing w:line="276" w:lineRule="auto"/>
              <w:jc w:val="center"/>
              <w:rPr>
                <w:rFonts w:ascii="Cambria" w:eastAsia="Times New Roman" w:hAnsi="Cambria" w:cs="Times New Roman"/>
                <w:b/>
                <w:bCs/>
                <w:lang w:val="bs-Latn-BA"/>
              </w:rPr>
            </w:pPr>
            <w:r w:rsidRPr="00033459">
              <w:rPr>
                <w:rFonts w:ascii="Cambria" w:eastAsia="Times New Roman" w:hAnsi="Cambria" w:cs="Times New Roman"/>
                <w:b/>
                <w:bCs/>
                <w:lang w:val="bs-Latn-BA"/>
              </w:rPr>
              <w:t>1</w:t>
            </w:r>
          </w:p>
        </w:tc>
        <w:tc>
          <w:tcPr>
            <w:tcW w:w="1337" w:type="dxa"/>
            <w:vAlign w:val="center"/>
          </w:tcPr>
          <w:p w:rsidR="00E0089A" w:rsidRPr="00033459" w:rsidRDefault="00E0089A" w:rsidP="00E0089A">
            <w:pPr>
              <w:spacing w:line="276" w:lineRule="auto"/>
              <w:jc w:val="center"/>
              <w:rPr>
                <w:rFonts w:ascii="Cambria" w:eastAsia="Times New Roman" w:hAnsi="Cambria" w:cs="Times New Roman"/>
                <w:b/>
                <w:bCs/>
                <w:lang w:val="bs-Latn-BA"/>
              </w:rPr>
            </w:pPr>
            <w:r w:rsidRPr="00033459">
              <w:rPr>
                <w:rFonts w:ascii="Cambria" w:eastAsia="Times New Roman" w:hAnsi="Cambria" w:cs="Times New Roman"/>
                <w:b/>
                <w:bCs/>
                <w:lang w:val="bs-Latn-BA"/>
              </w:rPr>
              <w:t>2</w:t>
            </w:r>
          </w:p>
        </w:tc>
      </w:tr>
      <w:tr w:rsidR="00E0089A" w:rsidRPr="00033459" w:rsidTr="00E0089A">
        <w:trPr>
          <w:trHeight w:val="653"/>
        </w:trPr>
        <w:tc>
          <w:tcPr>
            <w:tcW w:w="4742" w:type="dxa"/>
          </w:tcPr>
          <w:p w:rsidR="00E0089A" w:rsidRPr="00033459" w:rsidRDefault="00E0089A" w:rsidP="00E0089A">
            <w:pPr>
              <w:spacing w:line="276" w:lineRule="auto"/>
              <w:jc w:val="both"/>
              <w:rPr>
                <w:rFonts w:ascii="Cambria" w:eastAsia="Times New Roman" w:hAnsi="Cambria" w:cs="Times New Roman"/>
                <w:lang w:val="bs-Latn-BA"/>
              </w:rPr>
            </w:pPr>
            <w:r w:rsidRPr="00033459">
              <w:rPr>
                <w:rFonts w:ascii="Cambria" w:eastAsia="Times New Roman" w:hAnsi="Cambria" w:cs="Times New Roman"/>
                <w:lang w:val="bs-Latn-BA"/>
              </w:rPr>
              <w:t>Radna tijela Skupštine Tuzlanskog kantona</w:t>
            </w:r>
          </w:p>
        </w:tc>
        <w:tc>
          <w:tcPr>
            <w:tcW w:w="1477" w:type="dxa"/>
            <w:vAlign w:val="center"/>
          </w:tcPr>
          <w:p w:rsidR="00E0089A" w:rsidRPr="00033459" w:rsidRDefault="00E0089A" w:rsidP="00E0089A">
            <w:pPr>
              <w:spacing w:line="276" w:lineRule="auto"/>
              <w:jc w:val="center"/>
              <w:rPr>
                <w:rFonts w:ascii="Cambria" w:eastAsia="Times New Roman" w:hAnsi="Cambria" w:cs="Times New Roman"/>
                <w:b/>
                <w:bCs/>
                <w:lang w:val="bs-Latn-BA"/>
              </w:rPr>
            </w:pPr>
            <w:r w:rsidRPr="00033459">
              <w:rPr>
                <w:rFonts w:ascii="Cambria" w:eastAsia="Times New Roman" w:hAnsi="Cambria" w:cs="Times New Roman"/>
                <w:b/>
                <w:bCs/>
                <w:lang w:val="bs-Latn-BA"/>
              </w:rPr>
              <w:t>64</w:t>
            </w:r>
          </w:p>
        </w:tc>
        <w:tc>
          <w:tcPr>
            <w:tcW w:w="1249" w:type="dxa"/>
            <w:vAlign w:val="center"/>
          </w:tcPr>
          <w:p w:rsidR="00E0089A" w:rsidRPr="00033459" w:rsidRDefault="00E0089A" w:rsidP="00E0089A">
            <w:pPr>
              <w:spacing w:line="276" w:lineRule="auto"/>
              <w:jc w:val="center"/>
              <w:rPr>
                <w:rFonts w:ascii="Cambria" w:eastAsia="Times New Roman" w:hAnsi="Cambria" w:cs="Times New Roman"/>
                <w:b/>
                <w:bCs/>
                <w:lang w:val="bs-Latn-BA"/>
              </w:rPr>
            </w:pPr>
            <w:r w:rsidRPr="00033459">
              <w:rPr>
                <w:rFonts w:ascii="Cambria" w:eastAsia="Times New Roman" w:hAnsi="Cambria" w:cs="Times New Roman"/>
                <w:b/>
                <w:bCs/>
                <w:lang w:val="bs-Latn-BA"/>
              </w:rPr>
              <w:t>45</w:t>
            </w:r>
          </w:p>
        </w:tc>
        <w:tc>
          <w:tcPr>
            <w:tcW w:w="1337" w:type="dxa"/>
            <w:vAlign w:val="center"/>
          </w:tcPr>
          <w:p w:rsidR="00E0089A" w:rsidRPr="00033459" w:rsidRDefault="00E0089A" w:rsidP="00E0089A">
            <w:pPr>
              <w:spacing w:line="276" w:lineRule="auto"/>
              <w:jc w:val="center"/>
              <w:rPr>
                <w:rFonts w:ascii="Cambria" w:eastAsia="Times New Roman" w:hAnsi="Cambria" w:cs="Times New Roman"/>
                <w:b/>
                <w:bCs/>
                <w:lang w:val="bs-Latn-BA"/>
              </w:rPr>
            </w:pPr>
            <w:r w:rsidRPr="00033459">
              <w:rPr>
                <w:rFonts w:ascii="Cambria" w:eastAsia="Times New Roman" w:hAnsi="Cambria" w:cs="Times New Roman"/>
                <w:b/>
                <w:bCs/>
                <w:lang w:val="bs-Latn-BA"/>
              </w:rPr>
              <w:t>109</w:t>
            </w:r>
          </w:p>
        </w:tc>
      </w:tr>
    </w:tbl>
    <w:p w:rsidR="00E0089A" w:rsidRDefault="00E0089A" w:rsidP="002F596A">
      <w:pPr>
        <w:spacing w:line="276" w:lineRule="auto"/>
        <w:jc w:val="both"/>
        <w:rPr>
          <w:rFonts w:ascii="Cambria" w:eastAsia="Times New Roman" w:hAnsi="Cambria" w:cs="Times New Roman"/>
          <w:lang w:val="bs-Latn-BA" w:eastAsia="en-GB"/>
        </w:rPr>
      </w:pPr>
    </w:p>
    <w:p w:rsidR="00E0089A" w:rsidRDefault="00942562" w:rsidP="00E0089A">
      <w:pPr>
        <w:spacing w:line="276" w:lineRule="auto"/>
        <w:jc w:val="both"/>
        <w:rPr>
          <w:rFonts w:ascii="Cambria" w:eastAsia="Times New Roman" w:hAnsi="Cambria" w:cs="Times New Roman"/>
          <w:lang w:val="bs-Latn-BA" w:eastAsia="en-GB"/>
        </w:rPr>
      </w:pPr>
      <w:r w:rsidRPr="00033459">
        <w:rPr>
          <w:rFonts w:ascii="Cambria" w:eastAsia="Times New Roman" w:hAnsi="Cambria" w:cs="Times New Roman"/>
          <w:lang w:val="bs-Latn-BA" w:eastAsia="en-GB"/>
        </w:rPr>
        <w:t>A što se tiče predsjednika radnih tijela Skupštine Tuzlanskog kantona u prethodnom sazivu od 2019. do februara 2022. osobe ženskog spola bile su predsjednici u 8 radnih tijela, a od februara 2022. do oktobra iste godine u 7 radnih tijela Skupštine Tuzlanskog kantona.</w:t>
      </w:r>
      <w:bookmarkStart w:id="24" w:name="_Toc195186411"/>
    </w:p>
    <w:p w:rsidR="00E0089A" w:rsidRPr="00E0089A" w:rsidRDefault="00E0089A" w:rsidP="00E0089A">
      <w:pPr>
        <w:spacing w:line="276" w:lineRule="auto"/>
        <w:jc w:val="both"/>
        <w:rPr>
          <w:rFonts w:ascii="Cambria" w:eastAsia="Times New Roman" w:hAnsi="Cambria" w:cs="Times New Roman"/>
          <w:lang w:val="bs-Latn-BA" w:eastAsia="en-GB"/>
        </w:rPr>
      </w:pPr>
    </w:p>
    <w:p w:rsidR="00993B1F" w:rsidRPr="00033459" w:rsidRDefault="00942562" w:rsidP="002F596A">
      <w:pPr>
        <w:pStyle w:val="Heading2"/>
      </w:pPr>
      <w:r w:rsidRPr="00033459">
        <w:lastRenderedPageBreak/>
        <w:t>2.5. Unaprijeđeno zdravlje i seksualno i reproduktivno zdravlje</w:t>
      </w:r>
      <w:bookmarkEnd w:id="24"/>
    </w:p>
    <w:p w:rsidR="00993B1F" w:rsidRPr="00033459" w:rsidRDefault="00942562" w:rsidP="002F596A">
      <w:pPr>
        <w:spacing w:line="240" w:lineRule="auto"/>
        <w:jc w:val="both"/>
        <w:rPr>
          <w:rFonts w:ascii="Cambria" w:eastAsia="Times New Roman" w:hAnsi="Cambria" w:cs="Times New Roman"/>
          <w:lang w:val="bs-Latn-BA"/>
        </w:rPr>
      </w:pPr>
      <w:r w:rsidRPr="00033459">
        <w:rPr>
          <w:rFonts w:ascii="Cambria" w:eastAsia="Times New Roman" w:hAnsi="Cambria" w:cs="Times New Roman"/>
          <w:b/>
          <w:lang w:val="bs-Latn-BA"/>
        </w:rPr>
        <w:t>V</w:t>
      </w:r>
      <w:r w:rsidRPr="00033459">
        <w:rPr>
          <w:rFonts w:ascii="Cambria" w:eastAsia="Times New Roman" w:hAnsi="Cambria" w:cs="Times New Roman"/>
          <w:lang w:val="bs-Latn-BA"/>
        </w:rPr>
        <w:t>ezano za aktivnost izrade vodiča za zdravstvene ustanove kakao na najbolji način da se postupa sa transrodnim i interspolnim osobama, aktivnosti koje je Ministarstvo zdravstva poduzimalo su sljedeće:</w:t>
      </w:r>
    </w:p>
    <w:p w:rsidR="004F32B1" w:rsidRPr="004F32B1" w:rsidRDefault="004F32B1" w:rsidP="002F596A">
      <w:pPr>
        <w:spacing w:line="240" w:lineRule="auto"/>
        <w:jc w:val="both"/>
        <w:rPr>
          <w:rFonts w:ascii="Cambria" w:eastAsia="Times New Roman" w:hAnsi="Cambria" w:cs="Times New Roman"/>
          <w:lang w:val="bs-Latn-BA" w:eastAsia="en-GB"/>
        </w:rPr>
      </w:pPr>
      <w:r w:rsidRPr="004F32B1">
        <w:rPr>
          <w:rFonts w:ascii="Cambria" w:eastAsia="Times New Roman" w:hAnsi="Cambria" w:cs="Times New Roman"/>
          <w:lang w:val="bs-Latn-BA" w:eastAsia="en-GB"/>
        </w:rPr>
        <w:t>U skladu sa ciljevima definisanim Gender akcionim planom Tuzlanskog kantona, predstavnici Ministarstva zdravstva Tuzlanskog kantona su tokom izvještajnog perioda učestvovali na ukupno četiri stručna događaja (sastanka i okrugla stola) koji su se odnosili na unapređenje zdravlja, uključujući seksualno i reproduktivno zdravlje s posebnim fokusom na marginalizirane i ranjive grupe, uključujući LGBTI osobe, a naročito transrodne osobe.</w:t>
      </w:r>
    </w:p>
    <w:p w:rsidR="00E542BE" w:rsidRDefault="004F32B1" w:rsidP="002F596A">
      <w:pPr>
        <w:spacing w:line="240" w:lineRule="auto"/>
        <w:jc w:val="both"/>
        <w:rPr>
          <w:rFonts w:ascii="Cambria" w:eastAsia="Times New Roman" w:hAnsi="Cambria" w:cs="Times New Roman"/>
          <w:lang w:val="bs-Latn-BA" w:eastAsia="en-GB"/>
        </w:rPr>
      </w:pPr>
      <w:r w:rsidRPr="004F32B1">
        <w:rPr>
          <w:rFonts w:ascii="Cambria" w:eastAsia="Times New Roman" w:hAnsi="Cambria" w:cs="Times New Roman"/>
          <w:lang w:val="bs-Latn-BA" w:eastAsia="en-GB"/>
        </w:rPr>
        <w:t xml:space="preserve">Dana 4. novembra 2022. godine, predstavnici Ministarstva su učestvovali na završnoj konferenciji pod nazivom </w:t>
      </w:r>
      <w:r w:rsidRPr="004F32B1">
        <w:rPr>
          <w:rFonts w:ascii="Cambria" w:eastAsia="Times New Roman" w:hAnsi="Cambria" w:cs="Times New Roman"/>
          <w:i/>
          <w:iCs/>
          <w:lang w:val="bs-Latn-BA" w:eastAsia="en-GB"/>
        </w:rPr>
        <w:t>„Ljudska prava transrodnih osoba između prava i medicine u BiH: stanje i mogućnosti“</w:t>
      </w:r>
      <w:r w:rsidRPr="004F32B1">
        <w:rPr>
          <w:rFonts w:ascii="Cambria" w:eastAsia="Times New Roman" w:hAnsi="Cambria" w:cs="Times New Roman"/>
          <w:lang w:val="bs-Latn-BA" w:eastAsia="en-GB"/>
        </w:rPr>
        <w:t xml:space="preserve">, održanoj u Sarajevu. Konferencija je realizovana u okviru projekta </w:t>
      </w:r>
      <w:r w:rsidRPr="004F32B1">
        <w:rPr>
          <w:rFonts w:ascii="Cambria" w:eastAsia="Times New Roman" w:hAnsi="Cambria" w:cs="Times New Roman"/>
          <w:i/>
          <w:iCs/>
          <w:lang w:val="bs-Latn-BA" w:eastAsia="en-GB"/>
        </w:rPr>
        <w:t>„Unapređenje prava i položaja transrodnih osoba u BiH“</w:t>
      </w:r>
      <w:r w:rsidRPr="004F32B1">
        <w:rPr>
          <w:rFonts w:ascii="Cambria" w:eastAsia="Times New Roman" w:hAnsi="Cambria" w:cs="Times New Roman"/>
          <w:lang w:val="bs-Latn-BA" w:eastAsia="en-GB"/>
        </w:rPr>
        <w:t>.</w:t>
      </w:r>
    </w:p>
    <w:p w:rsidR="00E542BE" w:rsidRDefault="004F32B1" w:rsidP="00E542BE">
      <w:pPr>
        <w:spacing w:line="240" w:lineRule="auto"/>
        <w:jc w:val="both"/>
        <w:rPr>
          <w:rFonts w:ascii="Cambria" w:eastAsia="Times New Roman" w:hAnsi="Cambria" w:cs="Times New Roman"/>
          <w:lang w:val="bs-Latn-BA" w:eastAsia="en-GB"/>
        </w:rPr>
      </w:pPr>
      <w:r w:rsidRPr="004F32B1">
        <w:rPr>
          <w:rFonts w:ascii="Cambria" w:eastAsia="Times New Roman" w:hAnsi="Cambria" w:cs="Times New Roman"/>
          <w:lang w:val="bs-Latn-BA" w:eastAsia="en-GB"/>
        </w:rPr>
        <w:t>Dana 10. i 11. juna 2022. godine, predstavnici Ministarstva zdravstva učestvovali su na radnom sastanku u organizaciji Sarajevskog otvorenog centra i zagovaračke grupe trans osoba i njihovih roditelja.</w:t>
      </w:r>
      <w:r w:rsidR="00E542BE">
        <w:rPr>
          <w:rFonts w:ascii="Cambria" w:eastAsia="Times New Roman" w:hAnsi="Cambria" w:cs="Times New Roman"/>
          <w:lang w:val="bs-Latn-BA" w:eastAsia="en-GB"/>
        </w:rPr>
        <w:t xml:space="preserve"> </w:t>
      </w:r>
      <w:r w:rsidRPr="004F32B1">
        <w:rPr>
          <w:rFonts w:ascii="Cambria" w:eastAsia="Times New Roman" w:hAnsi="Cambria" w:cs="Times New Roman"/>
          <w:lang w:val="bs-Latn-BA" w:eastAsia="en-GB"/>
        </w:rPr>
        <w:t>Na sastanku se razmatrala izrada javnih politika koje bi omogućile pokrivanje troškova prilagodbe spola transrodnim osobama putem sistema zdravstvenog osiguranja.</w:t>
      </w:r>
      <w:r w:rsidRPr="004F32B1">
        <w:rPr>
          <w:rFonts w:ascii="Cambria" w:eastAsia="Times New Roman" w:hAnsi="Cambria" w:cs="Times New Roman"/>
          <w:lang w:val="bs-Latn-BA" w:eastAsia="en-GB"/>
        </w:rPr>
        <w:br/>
        <w:t>Sastanku su prisustvovali predstavnici relevantnih zdravstvenih institucija, uključujući zavode i fondove zdravstvenog osiguranja, ministarstva zdravstva s različitih nivoa vlasti i ljekarske komore.</w:t>
      </w:r>
    </w:p>
    <w:p w:rsidR="00E542BE" w:rsidRDefault="004F32B1" w:rsidP="00E542BE">
      <w:pPr>
        <w:spacing w:line="240" w:lineRule="auto"/>
        <w:jc w:val="both"/>
        <w:rPr>
          <w:rFonts w:ascii="Cambria" w:eastAsia="Times New Roman" w:hAnsi="Cambria" w:cs="Times New Roman"/>
          <w:lang w:val="bs-Latn-BA" w:eastAsia="en-GB"/>
        </w:rPr>
      </w:pPr>
      <w:r w:rsidRPr="004F32B1">
        <w:rPr>
          <w:rFonts w:ascii="Cambria" w:eastAsia="Times New Roman" w:hAnsi="Cambria" w:cs="Times New Roman"/>
          <w:lang w:val="bs-Latn-BA" w:eastAsia="en-GB"/>
        </w:rPr>
        <w:br/>
        <w:t xml:space="preserve">Dana 12. decembra 2023. godine, predstavnici Ministarstva su prisustvovali okruglom stolu </w:t>
      </w:r>
      <w:r w:rsidRPr="004F32B1">
        <w:rPr>
          <w:rFonts w:ascii="Cambria" w:eastAsia="Times New Roman" w:hAnsi="Cambria" w:cs="Times New Roman"/>
          <w:i/>
          <w:iCs/>
          <w:lang w:val="bs-Latn-BA" w:eastAsia="en-GB"/>
        </w:rPr>
        <w:t>„Pristup zdravstvenoj zaštiti za LGBTI osobe u Bosni i Hercegovini“</w:t>
      </w:r>
      <w:r w:rsidRPr="004F32B1">
        <w:rPr>
          <w:rFonts w:ascii="Cambria" w:eastAsia="Times New Roman" w:hAnsi="Cambria" w:cs="Times New Roman"/>
          <w:lang w:val="bs-Latn-BA" w:eastAsia="en-GB"/>
        </w:rPr>
        <w:t>, održanom u Parlamentarnoj skupštini BiH, u organizaciji Agencije za ravnopravnost spolova BiH i Odjela za seksualnu orijentaciju i rodni identitet (SOGI) Savjeta Evrope.</w:t>
      </w:r>
      <w:r w:rsidR="00E542BE">
        <w:rPr>
          <w:rFonts w:ascii="Cambria" w:eastAsia="Times New Roman" w:hAnsi="Cambria" w:cs="Times New Roman"/>
          <w:lang w:val="bs-Latn-BA" w:eastAsia="en-GB"/>
        </w:rPr>
        <w:t xml:space="preserve"> </w:t>
      </w:r>
      <w:r w:rsidRPr="004F32B1">
        <w:rPr>
          <w:rFonts w:ascii="Cambria" w:eastAsia="Times New Roman" w:hAnsi="Cambria" w:cs="Times New Roman"/>
          <w:lang w:val="bs-Latn-BA" w:eastAsia="en-GB"/>
        </w:rPr>
        <w:t>Na ovom događaju prezentovan je preliminarni izvještaj Savjeta Evrope o pristupu LGBTI osoba zdravstvenim uslugama u BiH.</w:t>
      </w:r>
    </w:p>
    <w:p w:rsidR="00E0089A" w:rsidRDefault="004F32B1" w:rsidP="00E0089A">
      <w:pPr>
        <w:spacing w:line="240" w:lineRule="auto"/>
        <w:jc w:val="both"/>
        <w:rPr>
          <w:rFonts w:ascii="Cambria" w:eastAsia="Times New Roman" w:hAnsi="Cambria" w:cs="Times New Roman"/>
          <w:lang w:val="bs-Latn-BA"/>
        </w:rPr>
      </w:pPr>
      <w:r w:rsidRPr="004F32B1">
        <w:rPr>
          <w:rFonts w:ascii="Cambria" w:eastAsia="Times New Roman" w:hAnsi="Cambria" w:cs="Times New Roman"/>
          <w:lang w:val="bs-Latn-BA" w:eastAsia="en-GB"/>
        </w:rPr>
        <w:t>Ministarstvo zdravstva Tuzlanskog kantona je dopunilo izvještaj Savjeta Evrope dostavljanjem podataka o dostupnosti i primjeni HIV prevencijskih mjera, konkretno</w:t>
      </w:r>
      <w:r w:rsidR="00E542BE">
        <w:rPr>
          <w:rFonts w:ascii="Cambria" w:eastAsia="Times New Roman" w:hAnsi="Cambria" w:cs="Times New Roman"/>
          <w:lang w:val="bs-Latn-BA" w:eastAsia="en-GB"/>
        </w:rPr>
        <w:t xml:space="preserve"> </w:t>
      </w:r>
      <w:r w:rsidRPr="004F32B1">
        <w:rPr>
          <w:rFonts w:ascii="Cambria" w:eastAsia="Times New Roman" w:hAnsi="Cambria" w:cs="Times New Roman"/>
          <w:lang w:val="bs-Latn-BA" w:eastAsia="en-GB"/>
        </w:rPr>
        <w:t>PrEP (predekspozicijska profilaksa) i</w:t>
      </w:r>
      <w:r w:rsidR="00E542BE">
        <w:rPr>
          <w:rFonts w:ascii="Cambria" w:eastAsia="Times New Roman" w:hAnsi="Cambria" w:cs="Times New Roman"/>
          <w:lang w:val="bs-Latn-BA" w:eastAsia="en-GB"/>
        </w:rPr>
        <w:t xml:space="preserve"> </w:t>
      </w:r>
      <w:r w:rsidRPr="004F32B1">
        <w:rPr>
          <w:rFonts w:ascii="Cambria" w:eastAsia="Times New Roman" w:hAnsi="Cambria" w:cs="Times New Roman"/>
          <w:lang w:val="bs-Latn-BA" w:eastAsia="en-GB"/>
        </w:rPr>
        <w:t>PEP (postekspozicijska profilaksa),</w:t>
      </w:r>
      <w:r w:rsidR="00E542BE">
        <w:rPr>
          <w:rFonts w:ascii="Cambria" w:eastAsia="Times New Roman" w:hAnsi="Cambria" w:cs="Times New Roman"/>
          <w:lang w:val="bs-Latn-BA" w:eastAsia="en-GB"/>
        </w:rPr>
        <w:t xml:space="preserve"> </w:t>
      </w:r>
      <w:r w:rsidRPr="004F32B1">
        <w:rPr>
          <w:rFonts w:ascii="Cambria" w:eastAsia="Times New Roman" w:hAnsi="Cambria" w:cs="Times New Roman"/>
          <w:lang w:val="bs-Latn-BA" w:eastAsia="en-GB"/>
        </w:rPr>
        <w:t>koje se provode na Klinici za infektivne bolesti JZU UKC Tuzla.</w:t>
      </w:r>
      <w:bookmarkStart w:id="25" w:name="_Toc195186412"/>
    </w:p>
    <w:p w:rsidR="00E0089A" w:rsidRDefault="00E0089A" w:rsidP="00E0089A">
      <w:pPr>
        <w:spacing w:line="240" w:lineRule="auto"/>
        <w:jc w:val="both"/>
        <w:rPr>
          <w:rFonts w:ascii="Cambria" w:eastAsia="Times New Roman" w:hAnsi="Cambria" w:cs="Times New Roman"/>
          <w:lang w:val="bs-Latn-BA"/>
        </w:rPr>
      </w:pPr>
    </w:p>
    <w:p w:rsidR="00E0089A" w:rsidRDefault="00942562" w:rsidP="00E0089A">
      <w:pPr>
        <w:spacing w:line="240" w:lineRule="auto"/>
        <w:jc w:val="both"/>
        <w:rPr>
          <w:rFonts w:ascii="Cambria" w:hAnsi="Cambria"/>
          <w:b/>
          <w:color w:val="1F4E79" w:themeColor="accent1" w:themeShade="80"/>
          <w:lang w:val="bs-Latn-BA"/>
        </w:rPr>
      </w:pPr>
      <w:r w:rsidRPr="00E0089A">
        <w:rPr>
          <w:rFonts w:ascii="Cambria" w:hAnsi="Cambria"/>
          <w:b/>
          <w:color w:val="1F4E79" w:themeColor="accent1" w:themeShade="80"/>
          <w:lang w:val="bs-Latn-BA"/>
        </w:rPr>
        <w:t>3 SREDNJEROČNI CILJ 3. PRATI SE STANJE I SARAĐUJE SA DRUGIM AKTERIMA NA UNAPREĐENJU STANJA RAVNOPRAVNOSTI SPOLOVA</w:t>
      </w:r>
      <w:bookmarkEnd w:id="25"/>
    </w:p>
    <w:p w:rsidR="00E0089A" w:rsidRPr="00E0089A" w:rsidRDefault="00E0089A" w:rsidP="00E0089A">
      <w:pPr>
        <w:spacing w:line="240" w:lineRule="auto"/>
        <w:jc w:val="both"/>
        <w:rPr>
          <w:rFonts w:ascii="Cambria" w:hAnsi="Cambria"/>
          <w:b/>
          <w:color w:val="1F4E79" w:themeColor="accent1" w:themeShade="80"/>
          <w:lang w:val="bs-Latn-BA"/>
        </w:rPr>
      </w:pPr>
    </w:p>
    <w:p w:rsidR="00993B1F" w:rsidRPr="00033459" w:rsidRDefault="00942562" w:rsidP="002F596A">
      <w:pPr>
        <w:pStyle w:val="Heading2"/>
      </w:pPr>
      <w:bookmarkStart w:id="26" w:name="_heading=h.35nkun2" w:colFirst="0" w:colLast="0"/>
      <w:bookmarkStart w:id="27" w:name="_Toc195186413"/>
      <w:bookmarkEnd w:id="26"/>
      <w:r w:rsidRPr="00033459">
        <w:t>3.1. Kanton doprinosi promociji ravnopravnosti spolova</w:t>
      </w:r>
      <w:bookmarkEnd w:id="27"/>
    </w:p>
    <w:p w:rsidR="00993B1F" w:rsidRPr="00033459" w:rsidRDefault="00942562" w:rsidP="002F596A">
      <w:pPr>
        <w:jc w:val="both"/>
        <w:rPr>
          <w:rFonts w:ascii="Cambria" w:eastAsia="Times New Roman" w:hAnsi="Cambria" w:cs="Times New Roman"/>
          <w:lang w:val="bs-Latn-BA"/>
        </w:rPr>
      </w:pPr>
      <w:r w:rsidRPr="00033459">
        <w:rPr>
          <w:rFonts w:ascii="Cambria" w:eastAsia="Times New Roman" w:hAnsi="Cambria" w:cs="Times New Roman"/>
          <w:lang w:val="bs-Latn-BA"/>
        </w:rPr>
        <w:t xml:space="preserve">Tokom 2023. godine institucije Kantona, uključujući Vladu i Skupštinu, su učestvovali u aktivnostima na promociji ravnopravnosti spolova. Ove aktivnosti su uključivale učešće predstavnika TK u aktivnostima koje je provodio Gender Centar Vlade FBIH, međunarodne i nevladine organizacije kao i davanje saopćenja povodom ključnih dana za ravnopravnost spolova. Aktivnosti na provođenju GAP TK su također doprinosile dizanju svijesti o ravnopravnosti spolova. </w:t>
      </w:r>
    </w:p>
    <w:p w:rsidR="004F32B1" w:rsidRPr="00033459" w:rsidRDefault="00E542BE" w:rsidP="002F596A">
      <w:pPr>
        <w:jc w:val="both"/>
        <w:rPr>
          <w:rFonts w:ascii="Cambria" w:eastAsia="Times New Roman" w:hAnsi="Cambria" w:cs="Times New Roman"/>
          <w:lang w:val="bs-Latn-BA"/>
        </w:rPr>
      </w:pPr>
      <w:r>
        <w:rPr>
          <w:rFonts w:ascii="Cambria" w:eastAsia="Times New Roman" w:hAnsi="Cambria" w:cs="Times New Roman"/>
          <w:lang w:val="bs-Latn-BA"/>
        </w:rPr>
        <w:t>Aktivnosti koje se odnose na promociju ravnopravnosti spolova su prikazane u pojedinačnim oblastima iz ovog izvještaja.</w:t>
      </w:r>
    </w:p>
    <w:p w:rsidR="00993B1F" w:rsidRPr="00033459" w:rsidRDefault="00993B1F" w:rsidP="002F596A">
      <w:pPr>
        <w:jc w:val="both"/>
        <w:rPr>
          <w:rFonts w:ascii="Cambria" w:eastAsia="Times New Roman" w:hAnsi="Cambria" w:cs="Times New Roman"/>
          <w:lang w:val="bs-Latn-BA"/>
        </w:rPr>
      </w:pPr>
    </w:p>
    <w:p w:rsidR="00993B1F" w:rsidRPr="00033459" w:rsidRDefault="00942562" w:rsidP="002F596A">
      <w:pPr>
        <w:pStyle w:val="Heading2"/>
      </w:pPr>
      <w:bookmarkStart w:id="28" w:name="_heading=h.1ksv4uv" w:colFirst="0" w:colLast="0"/>
      <w:bookmarkStart w:id="29" w:name="_Toc195186414"/>
      <w:bookmarkEnd w:id="28"/>
      <w:r w:rsidRPr="00033459">
        <w:lastRenderedPageBreak/>
        <w:t>3.2. Civilno društvo učestvuje u definiranju prioriteta za djelovanje u oblasti ravnopravnosti spolova</w:t>
      </w:r>
      <w:bookmarkEnd w:id="29"/>
    </w:p>
    <w:p w:rsidR="00993B1F" w:rsidRPr="00033459" w:rsidRDefault="00CC26AD" w:rsidP="002F596A">
      <w:pPr>
        <w:jc w:val="both"/>
        <w:rPr>
          <w:rFonts w:ascii="Cambria" w:eastAsia="Times New Roman" w:hAnsi="Cambria" w:cs="Times New Roman"/>
          <w:lang w:val="bs-Latn-BA"/>
        </w:rPr>
      </w:pPr>
      <w:sdt>
        <w:sdtPr>
          <w:rPr>
            <w:rFonts w:ascii="Cambria" w:hAnsi="Cambria"/>
            <w:lang w:val="bs-Latn-BA"/>
          </w:rPr>
          <w:tag w:val="goog_rdk_4"/>
          <w:id w:val="-932129148"/>
        </w:sdtPr>
        <w:sdtEndPr/>
        <w:sdtContent/>
      </w:sdt>
      <w:r w:rsidR="00942562" w:rsidRPr="00033459">
        <w:rPr>
          <w:rFonts w:ascii="Cambria" w:eastAsia="Times New Roman" w:hAnsi="Cambria" w:cs="Times New Roman"/>
          <w:lang w:val="bs-Latn-BA"/>
        </w:rPr>
        <w:t>Tuzlanski kanton redovno sarađuje sa nevladinim organizacijama koje djeluju na području Kantona uključujući i u oblasti ravnopravnosti spolova. Redovno se izdvajaju sredstva putem transfera neprofitnim organizacijama, a nevladine organizacije svojim aktivizmom daju veliki doprinos u oblasti ravnopravnosti spolova</w:t>
      </w:r>
      <w:r w:rsidR="00E542BE">
        <w:rPr>
          <w:rFonts w:ascii="Cambria" w:eastAsia="Times New Roman" w:hAnsi="Cambria" w:cs="Times New Roman"/>
          <w:lang w:val="bs-Latn-BA"/>
        </w:rPr>
        <w:t>.</w:t>
      </w:r>
    </w:p>
    <w:p w:rsidR="00993B1F" w:rsidRPr="00033459" w:rsidRDefault="00942562" w:rsidP="002F596A">
      <w:pPr>
        <w:jc w:val="both"/>
        <w:rPr>
          <w:rFonts w:ascii="Cambria" w:eastAsia="Times New Roman" w:hAnsi="Cambria" w:cs="Times New Roman"/>
          <w:lang w:val="bs-Latn-BA"/>
        </w:rPr>
      </w:pPr>
      <w:r w:rsidRPr="00033459">
        <w:rPr>
          <w:rFonts w:ascii="Cambria" w:eastAsia="Times New Roman" w:hAnsi="Cambria" w:cs="Times New Roman"/>
          <w:lang w:val="bs-Latn-BA"/>
        </w:rPr>
        <w:t>Uz saglasnost Ministarstva obrazovanja i nauke TK i Pedagoškog zavoda TK sprovedene su aktivnosti u svrhu prevencije rondo zasnovanog nasilja u jednoj osnovnoj i dvije srednje škole na TK, preko 650 školske djece i 50 članova nastavnog osobolja su bili uključeni u projektne aktivnosti.</w:t>
      </w:r>
    </w:p>
    <w:p w:rsidR="00993B1F" w:rsidRPr="00033459" w:rsidRDefault="00942562" w:rsidP="002F596A">
      <w:pPr>
        <w:jc w:val="both"/>
        <w:rPr>
          <w:rFonts w:ascii="Cambria" w:eastAsia="Times New Roman" w:hAnsi="Cambria" w:cs="Times New Roman"/>
          <w:lang w:val="bs-Latn-BA"/>
        </w:rPr>
      </w:pPr>
      <w:r w:rsidRPr="00033459">
        <w:rPr>
          <w:rFonts w:ascii="Cambria" w:eastAsia="Times New Roman" w:hAnsi="Cambria" w:cs="Times New Roman"/>
          <w:lang w:val="bs-Latn-BA"/>
        </w:rPr>
        <w:t>U suradnji sa JU Služba za zapošljavanje TK kroz različite projekte organizovane su aktivnosti za preko 50 žena sa fokusom na smanjenje broja nezaposlenih žena.</w:t>
      </w:r>
    </w:p>
    <w:p w:rsidR="00993B1F" w:rsidRPr="00033459" w:rsidRDefault="00942562" w:rsidP="002F596A">
      <w:pPr>
        <w:jc w:val="both"/>
        <w:rPr>
          <w:rFonts w:ascii="Cambria" w:eastAsia="Times New Roman" w:hAnsi="Cambria" w:cs="Times New Roman"/>
          <w:lang w:val="bs-Latn-BA"/>
        </w:rPr>
      </w:pPr>
      <w:r w:rsidRPr="00033459">
        <w:rPr>
          <w:rFonts w:ascii="Cambria" w:eastAsia="Times New Roman" w:hAnsi="Cambria" w:cs="Times New Roman"/>
          <w:lang w:val="bs-Latn-BA"/>
        </w:rPr>
        <w:t xml:space="preserve">U suradnji sa nevladinim organizacijama sa TK (Udruženje građana Informativni centar zaosobe sa invaliditetom "LOTOS" Tuzla, </w:t>
      </w:r>
      <w:r w:rsidRPr="00033459">
        <w:rPr>
          <w:rFonts w:ascii="Cambria" w:eastAsia="Times New Roman" w:hAnsi="Cambria" w:cs="Times New Roman"/>
          <w:highlight w:val="white"/>
          <w:lang w:val="bs-Latn-BA"/>
        </w:rPr>
        <w:t>Tuzlanski otvoreni centar, Revolt, Amica Educa, Fondacija tuzlanske zajednice, Nova ženska inicijativa, HO Horizonti, Vive Žene, Ženska vizija i Islamic relief, Vijeće za rodnu ravnopravnost Univerziteta u Tuzli</w:t>
      </w:r>
      <w:r w:rsidRPr="00033459">
        <w:rPr>
          <w:rFonts w:ascii="Cambria" w:eastAsia="Arial" w:hAnsi="Cambria" w:cs="Arial"/>
          <w:highlight w:val="white"/>
          <w:lang w:val="bs-Latn-BA"/>
        </w:rPr>
        <w:t>)</w:t>
      </w:r>
      <w:r w:rsidRPr="00033459">
        <w:rPr>
          <w:rFonts w:ascii="Cambria" w:eastAsia="Times New Roman" w:hAnsi="Cambria" w:cs="Times New Roman"/>
          <w:lang w:val="bs-Latn-BA"/>
        </w:rPr>
        <w:t>, organizovano je obilježavanje 8 marta sa performansom pod naslovom “Jesam li ja sljedeća?” u svrhu ukazivanja na problem femicida za oko 500 građana/ki.</w:t>
      </w:r>
    </w:p>
    <w:p w:rsidR="00993B1F" w:rsidRPr="00033459" w:rsidRDefault="00942562" w:rsidP="002F596A">
      <w:pPr>
        <w:jc w:val="both"/>
        <w:rPr>
          <w:rFonts w:ascii="Cambria" w:eastAsia="Times New Roman" w:hAnsi="Cambria" w:cs="Times New Roman"/>
          <w:lang w:val="bs-Latn-BA"/>
        </w:rPr>
      </w:pPr>
      <w:r w:rsidRPr="00033459">
        <w:rPr>
          <w:rFonts w:ascii="Cambria" w:eastAsia="Times New Roman" w:hAnsi="Cambria" w:cs="Times New Roman"/>
          <w:lang w:val="bs-Latn-BA"/>
        </w:rPr>
        <w:t>U suradnji sa gore navedenim nevladinim organizacijama sa TK, organizovano je obilježavanje 16 dana borbe protiv rondo-zasnovanog nasilja sa uličnom kampanjom “Ona nije kriva”, oko 250 građana/ki dobilo informacije o oblicima nasilja i dostupnim oblicima pomoći. Polazeći od svega naprijed navedenog, predlaže se Vladi Kantona da nakon razmatranja Izvještaja o implementaciji Gender akcionog plana TK donese sljedeće:</w:t>
      </w:r>
      <w:r w:rsidR="00E257D2" w:rsidRPr="00033459">
        <w:rPr>
          <w:rFonts w:ascii="Cambria" w:eastAsia="Times New Roman" w:hAnsi="Cambria" w:cs="Times New Roman"/>
          <w:lang w:val="bs-Latn-BA"/>
        </w:rPr>
        <w:t xml:space="preserve"> </w:t>
      </w:r>
    </w:p>
    <w:p w:rsidR="00993B1F" w:rsidRPr="00033459" w:rsidRDefault="00E0089A" w:rsidP="00E0089A">
      <w:pPr>
        <w:rPr>
          <w:rFonts w:ascii="Cambria" w:eastAsia="Times New Roman" w:hAnsi="Cambria" w:cs="Times New Roman"/>
          <w:b/>
          <w:lang w:val="bs-Latn-BA"/>
        </w:rPr>
      </w:pPr>
      <w:r>
        <w:rPr>
          <w:rFonts w:ascii="Cambria" w:eastAsia="Times New Roman" w:hAnsi="Cambria" w:cs="Times New Roman"/>
          <w:b/>
          <w:lang w:val="bs-Latn-BA"/>
        </w:rPr>
        <w:t xml:space="preserve">                                                                           </w:t>
      </w:r>
      <w:r w:rsidR="00942562" w:rsidRPr="00033459">
        <w:rPr>
          <w:rFonts w:ascii="Cambria" w:eastAsia="Times New Roman" w:hAnsi="Cambria" w:cs="Times New Roman"/>
          <w:b/>
          <w:lang w:val="bs-Latn-BA"/>
        </w:rPr>
        <w:t>ZAKLJUČKE</w:t>
      </w:r>
    </w:p>
    <w:p w:rsidR="00993B1F" w:rsidRPr="00033459" w:rsidRDefault="00942562" w:rsidP="002F596A">
      <w:pPr>
        <w:jc w:val="both"/>
        <w:rPr>
          <w:rFonts w:ascii="Cambria" w:eastAsia="Times New Roman" w:hAnsi="Cambria" w:cs="Times New Roman"/>
          <w:lang w:val="bs-Latn-BA"/>
        </w:rPr>
      </w:pPr>
      <w:r w:rsidRPr="00033459">
        <w:rPr>
          <w:rFonts w:ascii="Cambria" w:eastAsia="Times New Roman" w:hAnsi="Cambria" w:cs="Times New Roman"/>
          <w:lang w:val="bs-Latn-BA"/>
        </w:rPr>
        <w:t>1. Usvaja se Izvještaj o provođenju Gender akcioni plana Tuzlanskog kantona</w:t>
      </w:r>
      <w:r w:rsidR="00E257D2" w:rsidRPr="00033459">
        <w:rPr>
          <w:rFonts w:ascii="Cambria" w:eastAsia="Times New Roman" w:hAnsi="Cambria" w:cs="Times New Roman"/>
          <w:lang w:val="bs-Latn-BA"/>
        </w:rPr>
        <w:t xml:space="preserve"> </w:t>
      </w:r>
      <w:r w:rsidRPr="00033459">
        <w:rPr>
          <w:rFonts w:ascii="Cambria" w:eastAsia="Times New Roman" w:hAnsi="Cambria" w:cs="Times New Roman"/>
          <w:lang w:val="bs-Latn-BA"/>
        </w:rPr>
        <w:t>za period od 2021. do 2024. godine za period 01.01.2023. do 31.12.2023.godine</w:t>
      </w:r>
    </w:p>
    <w:p w:rsidR="00993B1F" w:rsidRPr="00033459" w:rsidRDefault="00942562" w:rsidP="002F596A">
      <w:pPr>
        <w:jc w:val="both"/>
        <w:rPr>
          <w:rFonts w:ascii="Cambria" w:eastAsia="Times New Roman" w:hAnsi="Cambria" w:cs="Times New Roman"/>
          <w:lang w:val="bs-Latn-BA"/>
        </w:rPr>
      </w:pPr>
      <w:r w:rsidRPr="00033459">
        <w:rPr>
          <w:rFonts w:ascii="Cambria" w:eastAsia="Times New Roman" w:hAnsi="Cambria" w:cs="Times New Roman"/>
          <w:lang w:val="bs-Latn-BA"/>
        </w:rPr>
        <w:t>2. Zadužuju se sve nadležne institucije da u kontinuirano sprovode obaveze koje proizilaze iz Gender akcionog plana Tuzlanskog kantona za period od 2021. do 2024. godine i da, s tim u vezi, sarađuju sa Koordinacionim tijelom.</w:t>
      </w:r>
    </w:p>
    <w:p w:rsidR="00993B1F" w:rsidRPr="00033459" w:rsidRDefault="00942562" w:rsidP="002F596A">
      <w:pPr>
        <w:jc w:val="both"/>
        <w:rPr>
          <w:rFonts w:ascii="Cambria" w:eastAsia="Times New Roman" w:hAnsi="Cambria" w:cs="Times New Roman"/>
          <w:lang w:val="bs-Latn-BA"/>
        </w:rPr>
      </w:pPr>
      <w:r w:rsidRPr="00033459">
        <w:rPr>
          <w:rFonts w:ascii="Cambria" w:eastAsia="Times New Roman" w:hAnsi="Cambria" w:cs="Times New Roman"/>
          <w:lang w:val="bs-Latn-BA"/>
        </w:rPr>
        <w:t>3. Zadužuje se koordinacioni odbor da izvrši</w:t>
      </w:r>
      <w:r w:rsidR="00E257D2" w:rsidRPr="00033459">
        <w:rPr>
          <w:rFonts w:ascii="Cambria" w:eastAsia="Times New Roman" w:hAnsi="Cambria" w:cs="Times New Roman"/>
          <w:lang w:val="bs-Latn-BA"/>
        </w:rPr>
        <w:t xml:space="preserve"> </w:t>
      </w:r>
      <w:r w:rsidRPr="00033459">
        <w:rPr>
          <w:rFonts w:ascii="Cambria" w:eastAsia="Times New Roman" w:hAnsi="Cambria" w:cs="Times New Roman"/>
          <w:lang w:val="bs-Latn-BA"/>
        </w:rPr>
        <w:t>revidiranje GAP-a,</w:t>
      </w:r>
      <w:r w:rsidR="00E257D2" w:rsidRPr="00033459">
        <w:rPr>
          <w:rFonts w:ascii="Cambria" w:eastAsia="Times New Roman" w:hAnsi="Cambria" w:cs="Times New Roman"/>
          <w:lang w:val="bs-Latn-BA"/>
        </w:rPr>
        <w:t xml:space="preserve"> </w:t>
      </w:r>
      <w:r w:rsidRPr="00033459">
        <w:rPr>
          <w:rFonts w:ascii="Cambria" w:eastAsia="Times New Roman" w:hAnsi="Cambria" w:cs="Times New Roman"/>
          <w:lang w:val="bs-Latn-BA"/>
        </w:rPr>
        <w:t>odnosno izrada</w:t>
      </w:r>
      <w:r w:rsidR="00E257D2" w:rsidRPr="00033459">
        <w:rPr>
          <w:rFonts w:ascii="Cambria" w:eastAsia="Times New Roman" w:hAnsi="Cambria" w:cs="Times New Roman"/>
          <w:lang w:val="bs-Latn-BA"/>
        </w:rPr>
        <w:t xml:space="preserve"> </w:t>
      </w:r>
      <w:r w:rsidRPr="00033459">
        <w:rPr>
          <w:rFonts w:ascii="Cambria" w:eastAsia="Times New Roman" w:hAnsi="Cambria" w:cs="Times New Roman"/>
          <w:lang w:val="bs-Latn-BA"/>
        </w:rPr>
        <w:t>novog GAP-A TK za period 2025-2027. godina te isti dostavi Vladi TK na usvajanje u roku od 60 dana.</w:t>
      </w:r>
    </w:p>
    <w:p w:rsidR="00E0089A" w:rsidRDefault="00942562" w:rsidP="00E0089A">
      <w:pPr>
        <w:jc w:val="both"/>
        <w:rPr>
          <w:rFonts w:ascii="Cambria" w:eastAsia="Times New Roman" w:hAnsi="Cambria" w:cs="Times New Roman"/>
          <w:lang w:val="bs-Latn-BA"/>
        </w:rPr>
      </w:pPr>
      <w:r w:rsidRPr="00033459">
        <w:rPr>
          <w:rFonts w:ascii="Cambria" w:eastAsia="Times New Roman" w:hAnsi="Cambria" w:cs="Times New Roman"/>
          <w:lang w:val="bs-Latn-BA"/>
        </w:rPr>
        <w:t xml:space="preserve"> 4. Zadužuje se Ured Vlade da Izvještaj dostavi Skupštini TK.</w:t>
      </w:r>
    </w:p>
    <w:p w:rsidR="00E0089A" w:rsidRDefault="00E0089A" w:rsidP="002F596A">
      <w:pPr>
        <w:spacing w:line="240" w:lineRule="auto"/>
        <w:jc w:val="both"/>
        <w:rPr>
          <w:rFonts w:ascii="Cambria" w:eastAsia="Times New Roman" w:hAnsi="Cambria" w:cs="Times New Roman"/>
          <w:lang w:val="bs-Latn-BA"/>
        </w:rPr>
      </w:pPr>
      <w:r>
        <w:rPr>
          <w:rFonts w:ascii="Cambria" w:eastAsia="Times New Roman" w:hAnsi="Cambria" w:cs="Times New Roman"/>
          <w:lang w:val="bs-Latn-BA"/>
        </w:rPr>
        <w:t xml:space="preserve">       </w:t>
      </w:r>
    </w:p>
    <w:p w:rsidR="00E0089A" w:rsidRDefault="00E0089A" w:rsidP="002F596A">
      <w:pPr>
        <w:spacing w:line="240" w:lineRule="auto"/>
        <w:jc w:val="both"/>
        <w:rPr>
          <w:rFonts w:ascii="Cambria" w:eastAsia="Times New Roman" w:hAnsi="Cambria" w:cs="Times New Roman"/>
          <w:lang w:val="bs-Latn-BA"/>
        </w:rPr>
      </w:pPr>
    </w:p>
    <w:p w:rsidR="00993B1F" w:rsidRPr="00033459" w:rsidRDefault="00E0089A" w:rsidP="002F596A">
      <w:pPr>
        <w:spacing w:line="240" w:lineRule="auto"/>
        <w:jc w:val="both"/>
        <w:rPr>
          <w:rFonts w:ascii="Cambria" w:eastAsia="Times New Roman" w:hAnsi="Cambria" w:cs="Times New Roman"/>
          <w:lang w:val="bs-Latn-BA"/>
        </w:rPr>
      </w:pPr>
      <w:r>
        <w:rPr>
          <w:rFonts w:ascii="Cambria" w:eastAsia="Times New Roman" w:hAnsi="Cambria" w:cs="Times New Roman"/>
          <w:lang w:val="bs-Latn-BA"/>
        </w:rPr>
        <w:t xml:space="preserve"> </w:t>
      </w:r>
      <w:r w:rsidR="00E257D2" w:rsidRPr="00033459">
        <w:rPr>
          <w:rFonts w:ascii="Cambria" w:eastAsia="Times New Roman" w:hAnsi="Cambria" w:cs="Times New Roman"/>
          <w:lang w:val="bs-Latn-BA"/>
        </w:rPr>
        <w:t xml:space="preserve"> ZA KOORDINACIONI ODBOR</w:t>
      </w:r>
    </w:p>
    <w:p w:rsidR="00E0089A" w:rsidRDefault="00942562" w:rsidP="002F596A">
      <w:pPr>
        <w:spacing w:line="240" w:lineRule="auto"/>
        <w:jc w:val="both"/>
        <w:rPr>
          <w:rFonts w:ascii="Cambria" w:eastAsia="Times New Roman" w:hAnsi="Cambria" w:cs="Times New Roman"/>
          <w:lang w:val="bs-Latn-BA"/>
        </w:rPr>
      </w:pPr>
      <w:r w:rsidRPr="00033459">
        <w:rPr>
          <w:rFonts w:ascii="Cambria" w:eastAsia="Times New Roman" w:hAnsi="Cambria" w:cs="Times New Roman"/>
          <w:lang w:val="bs-Latn-BA"/>
        </w:rPr>
        <w:t>Doc.dr.sci. Edin Šestan, pomoćnik mini</w:t>
      </w:r>
      <w:r w:rsidR="00E0089A">
        <w:rPr>
          <w:rFonts w:ascii="Cambria" w:eastAsia="Times New Roman" w:hAnsi="Cambria" w:cs="Times New Roman"/>
          <w:lang w:val="bs-Latn-BA"/>
        </w:rPr>
        <w:t>stra</w:t>
      </w:r>
    </w:p>
    <w:p w:rsidR="00E0089A" w:rsidRDefault="00E0089A" w:rsidP="002F596A">
      <w:pPr>
        <w:spacing w:line="240" w:lineRule="auto"/>
        <w:jc w:val="both"/>
        <w:rPr>
          <w:rFonts w:ascii="Cambria" w:eastAsia="Times New Roman" w:hAnsi="Cambria" w:cs="Times New Roman"/>
          <w:lang w:val="bs-Latn-BA"/>
        </w:rPr>
      </w:pPr>
    </w:p>
    <w:p w:rsidR="00993B1F" w:rsidRPr="00033459" w:rsidRDefault="00942562" w:rsidP="002F596A">
      <w:pPr>
        <w:spacing w:line="240" w:lineRule="auto"/>
        <w:jc w:val="both"/>
        <w:rPr>
          <w:rFonts w:ascii="Cambria" w:eastAsia="Times New Roman" w:hAnsi="Cambria" w:cs="Times New Roman"/>
          <w:lang w:val="bs-Latn-BA"/>
        </w:rPr>
      </w:pPr>
      <w:r w:rsidRPr="00033459">
        <w:rPr>
          <w:rFonts w:ascii="Cambria" w:eastAsia="Times New Roman" w:hAnsi="Cambria" w:cs="Times New Roman"/>
          <w:lang w:val="bs-Latn-BA"/>
        </w:rPr>
        <w:t>Dostavljeno:</w:t>
      </w:r>
      <w:r w:rsidR="00E257D2" w:rsidRPr="00033459">
        <w:rPr>
          <w:rFonts w:ascii="Cambria" w:eastAsia="Times New Roman" w:hAnsi="Cambria" w:cs="Times New Roman"/>
          <w:lang w:val="bs-Latn-BA"/>
        </w:rPr>
        <w:t xml:space="preserve"> </w:t>
      </w:r>
      <w:r w:rsidR="00E0089A">
        <w:rPr>
          <w:rFonts w:ascii="Cambria" w:eastAsia="Times New Roman" w:hAnsi="Cambria" w:cs="Times New Roman"/>
          <w:lang w:val="bs-Latn-BA"/>
        </w:rPr>
        <w:t xml:space="preserve">                                                                                                                    </w:t>
      </w:r>
      <w:r w:rsidRPr="00033459">
        <w:rPr>
          <w:rFonts w:ascii="Cambria" w:eastAsia="Times New Roman" w:hAnsi="Cambria" w:cs="Times New Roman"/>
          <w:lang w:val="bs-Latn-BA"/>
        </w:rPr>
        <w:t xml:space="preserve">M I N I S T A R </w:t>
      </w:r>
    </w:p>
    <w:p w:rsidR="00993B1F" w:rsidRPr="00033459" w:rsidRDefault="00942562" w:rsidP="00E0089A">
      <w:pPr>
        <w:spacing w:after="0" w:line="240" w:lineRule="auto"/>
        <w:jc w:val="both"/>
        <w:rPr>
          <w:rFonts w:ascii="Cambria" w:eastAsia="Times New Roman" w:hAnsi="Cambria" w:cs="Times New Roman"/>
          <w:lang w:val="bs-Latn-BA"/>
        </w:rPr>
      </w:pPr>
      <w:r w:rsidRPr="00033459">
        <w:rPr>
          <w:rFonts w:ascii="Cambria" w:eastAsia="Times New Roman" w:hAnsi="Cambria" w:cs="Times New Roman"/>
          <w:lang w:val="bs-Latn-BA"/>
        </w:rPr>
        <w:t>1x Naslovu</w:t>
      </w:r>
    </w:p>
    <w:p w:rsidR="00993B1F" w:rsidRPr="00033459" w:rsidRDefault="00942562" w:rsidP="00E0089A">
      <w:pPr>
        <w:spacing w:after="0" w:line="240" w:lineRule="auto"/>
        <w:jc w:val="both"/>
        <w:rPr>
          <w:rFonts w:ascii="Cambria" w:eastAsia="Times New Roman" w:hAnsi="Cambria" w:cs="Times New Roman"/>
          <w:lang w:val="bs-Latn-BA"/>
        </w:rPr>
      </w:pPr>
      <w:r w:rsidRPr="00033459">
        <w:rPr>
          <w:rFonts w:ascii="Cambria" w:eastAsia="Times New Roman" w:hAnsi="Cambria" w:cs="Times New Roman"/>
          <w:lang w:val="bs-Latn-BA"/>
        </w:rPr>
        <w:t>1x Evidencija</w:t>
      </w:r>
      <w:r w:rsidR="00E257D2" w:rsidRPr="00033459">
        <w:rPr>
          <w:rFonts w:ascii="Cambria" w:eastAsia="Times New Roman" w:hAnsi="Cambria" w:cs="Times New Roman"/>
          <w:lang w:val="bs-Latn-BA"/>
        </w:rPr>
        <w:t xml:space="preserve"> </w:t>
      </w:r>
      <w:r w:rsidR="00E0089A">
        <w:rPr>
          <w:rFonts w:ascii="Cambria" w:eastAsia="Times New Roman" w:hAnsi="Cambria" w:cs="Times New Roman"/>
          <w:lang w:val="bs-Latn-BA"/>
        </w:rPr>
        <w:t xml:space="preserve">                                                                                                                      </w:t>
      </w:r>
      <w:r w:rsidRPr="00033459">
        <w:rPr>
          <w:rFonts w:ascii="Cambria" w:eastAsia="Times New Roman" w:hAnsi="Cambria" w:cs="Times New Roman"/>
          <w:lang w:val="bs-Latn-BA"/>
        </w:rPr>
        <w:t>Fadil Alić</w:t>
      </w:r>
    </w:p>
    <w:p w:rsidR="00993B1F" w:rsidRPr="00033459" w:rsidRDefault="00942562" w:rsidP="00E0089A">
      <w:pPr>
        <w:spacing w:after="0" w:line="240" w:lineRule="auto"/>
        <w:jc w:val="both"/>
        <w:rPr>
          <w:rFonts w:ascii="Cambria" w:eastAsia="Times New Roman" w:hAnsi="Cambria" w:cs="Times New Roman"/>
          <w:lang w:val="bs-Latn-BA"/>
        </w:rPr>
      </w:pPr>
      <w:r w:rsidRPr="00033459">
        <w:rPr>
          <w:rFonts w:ascii="Cambria" w:eastAsia="Times New Roman" w:hAnsi="Cambria" w:cs="Times New Roman"/>
          <w:lang w:val="bs-Latn-BA"/>
        </w:rPr>
        <w:t>1x Arhiva</w:t>
      </w:r>
    </w:p>
    <w:p w:rsidR="00993B1F" w:rsidRPr="00033459" w:rsidRDefault="00993B1F" w:rsidP="002F596A">
      <w:pPr>
        <w:spacing w:line="240" w:lineRule="auto"/>
        <w:jc w:val="both"/>
        <w:rPr>
          <w:rFonts w:ascii="Cambria" w:eastAsia="Times New Roman" w:hAnsi="Cambria" w:cs="Times New Roman"/>
          <w:lang w:val="bs-Latn-BA"/>
        </w:rPr>
      </w:pPr>
    </w:p>
    <w:p w:rsidR="00993B1F" w:rsidRPr="00033459" w:rsidRDefault="00993B1F" w:rsidP="002F596A">
      <w:pPr>
        <w:spacing w:line="240" w:lineRule="auto"/>
        <w:jc w:val="both"/>
        <w:rPr>
          <w:rFonts w:ascii="Cambria" w:eastAsia="Times New Roman" w:hAnsi="Cambria" w:cs="Times New Roman"/>
          <w:lang w:val="bs-Latn-BA"/>
        </w:rPr>
      </w:pPr>
    </w:p>
    <w:p w:rsidR="00993B1F" w:rsidRPr="00033459" w:rsidRDefault="00993B1F" w:rsidP="002F596A">
      <w:pPr>
        <w:spacing w:line="240" w:lineRule="auto"/>
        <w:jc w:val="both"/>
        <w:rPr>
          <w:rFonts w:ascii="Cambria" w:eastAsia="Times New Roman" w:hAnsi="Cambria" w:cs="Times New Roman"/>
          <w:lang w:val="bs-Latn-BA"/>
        </w:rPr>
      </w:pPr>
    </w:p>
    <w:p w:rsidR="00993B1F" w:rsidRPr="00033459" w:rsidRDefault="00993B1F" w:rsidP="002F596A">
      <w:pPr>
        <w:spacing w:line="240" w:lineRule="auto"/>
        <w:jc w:val="both"/>
        <w:rPr>
          <w:rFonts w:ascii="Cambria" w:eastAsia="Times New Roman" w:hAnsi="Cambria" w:cs="Times New Roman"/>
          <w:lang w:val="bs-Latn-BA"/>
        </w:rPr>
      </w:pPr>
    </w:p>
    <w:p w:rsidR="00993B1F" w:rsidRPr="00033459" w:rsidRDefault="00993B1F" w:rsidP="002F596A">
      <w:pPr>
        <w:spacing w:line="240" w:lineRule="auto"/>
        <w:jc w:val="both"/>
        <w:rPr>
          <w:rFonts w:ascii="Cambria" w:eastAsia="Times New Roman" w:hAnsi="Cambria" w:cs="Times New Roman"/>
          <w:lang w:val="bs-Latn-BA"/>
        </w:rPr>
      </w:pPr>
    </w:p>
    <w:p w:rsidR="00993B1F" w:rsidRPr="00033459" w:rsidRDefault="00993B1F" w:rsidP="002F596A">
      <w:pPr>
        <w:spacing w:line="240" w:lineRule="auto"/>
        <w:jc w:val="both"/>
        <w:rPr>
          <w:rFonts w:ascii="Cambria" w:eastAsia="Times New Roman" w:hAnsi="Cambria" w:cs="Times New Roman"/>
          <w:lang w:val="bs-Latn-BA"/>
        </w:rPr>
      </w:pPr>
    </w:p>
    <w:p w:rsidR="00993B1F" w:rsidRPr="00033459" w:rsidRDefault="00993B1F" w:rsidP="002F596A">
      <w:pPr>
        <w:spacing w:line="240" w:lineRule="auto"/>
        <w:jc w:val="both"/>
        <w:rPr>
          <w:rFonts w:ascii="Cambria" w:eastAsia="Times New Roman" w:hAnsi="Cambria" w:cs="Times New Roman"/>
          <w:lang w:val="bs-Latn-BA"/>
        </w:rPr>
      </w:pPr>
    </w:p>
    <w:p w:rsidR="00993B1F" w:rsidRPr="00033459" w:rsidRDefault="00993B1F" w:rsidP="002F596A">
      <w:pPr>
        <w:spacing w:line="240" w:lineRule="auto"/>
        <w:jc w:val="both"/>
        <w:rPr>
          <w:rFonts w:ascii="Cambria" w:eastAsia="Times New Roman" w:hAnsi="Cambria" w:cs="Times New Roman"/>
          <w:lang w:val="bs-Latn-BA"/>
        </w:rPr>
      </w:pPr>
    </w:p>
    <w:p w:rsidR="00993B1F" w:rsidRPr="00033459" w:rsidRDefault="00993B1F" w:rsidP="002F596A">
      <w:pPr>
        <w:spacing w:line="240" w:lineRule="auto"/>
        <w:jc w:val="both"/>
        <w:rPr>
          <w:rFonts w:ascii="Cambria" w:eastAsia="Times New Roman" w:hAnsi="Cambria" w:cs="Times New Roman"/>
          <w:lang w:val="bs-Latn-BA"/>
        </w:rPr>
      </w:pPr>
    </w:p>
    <w:p w:rsidR="00993B1F" w:rsidRPr="00033459" w:rsidRDefault="00993B1F" w:rsidP="002F596A">
      <w:pPr>
        <w:spacing w:line="240" w:lineRule="auto"/>
        <w:jc w:val="both"/>
        <w:rPr>
          <w:rFonts w:ascii="Cambria" w:eastAsia="Times New Roman" w:hAnsi="Cambria" w:cs="Times New Roman"/>
          <w:lang w:val="bs-Latn-BA"/>
        </w:rPr>
      </w:pPr>
    </w:p>
    <w:p w:rsidR="00993B1F" w:rsidRPr="00033459" w:rsidRDefault="00993B1F" w:rsidP="002F596A">
      <w:pPr>
        <w:spacing w:line="240" w:lineRule="auto"/>
        <w:jc w:val="both"/>
        <w:rPr>
          <w:rFonts w:ascii="Cambria" w:eastAsia="Times New Roman" w:hAnsi="Cambria" w:cs="Times New Roman"/>
          <w:lang w:val="bs-Latn-BA"/>
        </w:rPr>
      </w:pPr>
    </w:p>
    <w:p w:rsidR="00993B1F" w:rsidRPr="00033459" w:rsidRDefault="00993B1F" w:rsidP="002F596A">
      <w:pPr>
        <w:spacing w:line="240" w:lineRule="auto"/>
        <w:jc w:val="both"/>
        <w:rPr>
          <w:rFonts w:ascii="Cambria" w:eastAsia="Times New Roman" w:hAnsi="Cambria" w:cs="Times New Roman"/>
          <w:lang w:val="bs-Latn-BA"/>
        </w:rPr>
      </w:pPr>
    </w:p>
    <w:p w:rsidR="00993B1F" w:rsidRPr="00033459" w:rsidRDefault="00993B1F" w:rsidP="002F596A">
      <w:pPr>
        <w:spacing w:line="240" w:lineRule="auto"/>
        <w:jc w:val="both"/>
        <w:rPr>
          <w:rFonts w:ascii="Cambria" w:eastAsia="Times New Roman" w:hAnsi="Cambria" w:cs="Times New Roman"/>
          <w:lang w:val="bs-Latn-BA"/>
        </w:rPr>
      </w:pPr>
    </w:p>
    <w:p w:rsidR="00993B1F" w:rsidRPr="00033459" w:rsidRDefault="00993B1F" w:rsidP="002F596A">
      <w:pPr>
        <w:spacing w:line="240" w:lineRule="auto"/>
        <w:jc w:val="both"/>
        <w:rPr>
          <w:rFonts w:ascii="Cambria" w:eastAsia="Times New Roman" w:hAnsi="Cambria" w:cs="Times New Roman"/>
          <w:lang w:val="bs-Latn-BA"/>
        </w:rPr>
      </w:pPr>
    </w:p>
    <w:p w:rsidR="00993B1F" w:rsidRPr="00033459" w:rsidRDefault="00993B1F" w:rsidP="002F596A">
      <w:pPr>
        <w:spacing w:line="240" w:lineRule="auto"/>
        <w:jc w:val="both"/>
        <w:rPr>
          <w:rFonts w:ascii="Cambria" w:eastAsia="Times New Roman" w:hAnsi="Cambria" w:cs="Times New Roman"/>
          <w:lang w:val="bs-Latn-BA"/>
        </w:rPr>
      </w:pPr>
    </w:p>
    <w:p w:rsidR="00993B1F" w:rsidRPr="00033459" w:rsidRDefault="00993B1F" w:rsidP="002F596A">
      <w:pPr>
        <w:spacing w:line="240" w:lineRule="auto"/>
        <w:jc w:val="both"/>
        <w:rPr>
          <w:rFonts w:ascii="Cambria" w:eastAsia="Times New Roman" w:hAnsi="Cambria" w:cs="Times New Roman"/>
          <w:lang w:val="bs-Latn-BA"/>
        </w:rPr>
      </w:pPr>
    </w:p>
    <w:p w:rsidR="00993B1F" w:rsidRPr="00033459" w:rsidRDefault="00993B1F" w:rsidP="002F596A">
      <w:pPr>
        <w:spacing w:line="240" w:lineRule="auto"/>
        <w:jc w:val="both"/>
        <w:rPr>
          <w:rFonts w:ascii="Cambria" w:eastAsia="Times New Roman" w:hAnsi="Cambria" w:cs="Times New Roman"/>
          <w:lang w:val="bs-Latn-BA"/>
        </w:rPr>
      </w:pPr>
    </w:p>
    <w:p w:rsidR="00993B1F" w:rsidRPr="00033459" w:rsidRDefault="00993B1F" w:rsidP="002F596A">
      <w:pPr>
        <w:spacing w:line="240" w:lineRule="auto"/>
        <w:jc w:val="both"/>
        <w:rPr>
          <w:rFonts w:ascii="Cambria" w:eastAsia="Times New Roman" w:hAnsi="Cambria" w:cs="Times New Roman"/>
          <w:lang w:val="bs-Latn-BA"/>
        </w:rPr>
      </w:pPr>
    </w:p>
    <w:p w:rsidR="00993B1F" w:rsidRPr="00033459" w:rsidRDefault="00993B1F" w:rsidP="002F596A">
      <w:pPr>
        <w:spacing w:line="240" w:lineRule="auto"/>
        <w:jc w:val="both"/>
        <w:rPr>
          <w:rFonts w:ascii="Cambria" w:eastAsia="Times New Roman" w:hAnsi="Cambria" w:cs="Times New Roman"/>
          <w:lang w:val="bs-Latn-BA"/>
        </w:rPr>
      </w:pPr>
    </w:p>
    <w:p w:rsidR="00993B1F" w:rsidRPr="00033459" w:rsidRDefault="00993B1F" w:rsidP="002F596A">
      <w:pPr>
        <w:spacing w:line="240" w:lineRule="auto"/>
        <w:jc w:val="both"/>
        <w:rPr>
          <w:rFonts w:ascii="Cambria" w:eastAsia="Times New Roman" w:hAnsi="Cambria" w:cs="Times New Roman"/>
          <w:lang w:val="bs-Latn-BA"/>
        </w:rPr>
      </w:pPr>
    </w:p>
    <w:p w:rsidR="00993B1F" w:rsidRPr="00033459" w:rsidRDefault="00993B1F" w:rsidP="002F596A">
      <w:pPr>
        <w:spacing w:line="240" w:lineRule="auto"/>
        <w:jc w:val="both"/>
        <w:rPr>
          <w:rFonts w:ascii="Cambria" w:eastAsia="Times New Roman" w:hAnsi="Cambria" w:cs="Times New Roman"/>
          <w:lang w:val="bs-Latn-BA"/>
        </w:rPr>
      </w:pPr>
    </w:p>
    <w:p w:rsidR="00993B1F" w:rsidRPr="00033459" w:rsidRDefault="00993B1F" w:rsidP="002F596A">
      <w:pPr>
        <w:spacing w:line="240" w:lineRule="auto"/>
        <w:jc w:val="both"/>
        <w:rPr>
          <w:rFonts w:ascii="Cambria" w:eastAsia="Times New Roman" w:hAnsi="Cambria" w:cs="Times New Roman"/>
          <w:lang w:val="bs-Latn-BA"/>
        </w:rPr>
      </w:pPr>
    </w:p>
    <w:p w:rsidR="00993B1F" w:rsidRPr="00033459" w:rsidRDefault="00993B1F" w:rsidP="002F596A">
      <w:pPr>
        <w:spacing w:line="240" w:lineRule="auto"/>
        <w:jc w:val="both"/>
        <w:rPr>
          <w:rFonts w:ascii="Cambria" w:eastAsia="Times New Roman" w:hAnsi="Cambria" w:cs="Times New Roman"/>
          <w:lang w:val="bs-Latn-BA"/>
        </w:rPr>
      </w:pPr>
    </w:p>
    <w:p w:rsidR="00993B1F" w:rsidRPr="00033459" w:rsidRDefault="00993B1F" w:rsidP="002F596A">
      <w:pPr>
        <w:spacing w:line="240" w:lineRule="auto"/>
        <w:jc w:val="both"/>
        <w:rPr>
          <w:rFonts w:ascii="Cambria" w:eastAsia="Times New Roman" w:hAnsi="Cambria" w:cs="Times New Roman"/>
          <w:lang w:val="bs-Latn-BA"/>
        </w:rPr>
      </w:pPr>
    </w:p>
    <w:p w:rsidR="00993B1F" w:rsidRPr="00033459" w:rsidRDefault="00993B1F" w:rsidP="002F596A">
      <w:pPr>
        <w:spacing w:line="240" w:lineRule="auto"/>
        <w:jc w:val="both"/>
        <w:rPr>
          <w:rFonts w:ascii="Cambria" w:eastAsia="Times New Roman" w:hAnsi="Cambria" w:cs="Times New Roman"/>
          <w:lang w:val="bs-Latn-BA"/>
        </w:rPr>
      </w:pPr>
    </w:p>
    <w:p w:rsidR="00993B1F" w:rsidRPr="00033459" w:rsidRDefault="00993B1F" w:rsidP="002F596A">
      <w:pPr>
        <w:spacing w:line="240" w:lineRule="auto"/>
        <w:jc w:val="both"/>
        <w:rPr>
          <w:rFonts w:ascii="Cambria" w:eastAsia="Times New Roman" w:hAnsi="Cambria" w:cs="Times New Roman"/>
          <w:lang w:val="bs-Latn-BA"/>
        </w:rPr>
      </w:pPr>
    </w:p>
    <w:p w:rsidR="00993B1F" w:rsidRPr="00033459" w:rsidRDefault="00993B1F" w:rsidP="002F596A">
      <w:pPr>
        <w:spacing w:line="240" w:lineRule="auto"/>
        <w:jc w:val="both"/>
        <w:rPr>
          <w:rFonts w:ascii="Cambria" w:eastAsia="Times New Roman" w:hAnsi="Cambria" w:cs="Times New Roman"/>
          <w:lang w:val="bs-Latn-BA"/>
        </w:rPr>
      </w:pPr>
    </w:p>
    <w:p w:rsidR="00993B1F" w:rsidRPr="00033459" w:rsidRDefault="00993B1F" w:rsidP="002F596A">
      <w:pPr>
        <w:spacing w:line="240" w:lineRule="auto"/>
        <w:jc w:val="both"/>
        <w:rPr>
          <w:rFonts w:ascii="Cambria" w:eastAsia="Times New Roman" w:hAnsi="Cambria" w:cs="Times New Roman"/>
          <w:lang w:val="bs-Latn-BA"/>
        </w:rPr>
      </w:pPr>
    </w:p>
    <w:p w:rsidR="00993B1F" w:rsidRPr="00033459" w:rsidRDefault="00993B1F" w:rsidP="002F596A">
      <w:pPr>
        <w:spacing w:line="240" w:lineRule="auto"/>
        <w:jc w:val="both"/>
        <w:rPr>
          <w:rFonts w:ascii="Cambria" w:eastAsia="Times New Roman" w:hAnsi="Cambria" w:cs="Times New Roman"/>
          <w:lang w:val="bs-Latn-BA"/>
        </w:rPr>
      </w:pPr>
    </w:p>
    <w:p w:rsidR="00993B1F" w:rsidRPr="00033459" w:rsidRDefault="00993B1F" w:rsidP="002F596A">
      <w:pPr>
        <w:spacing w:line="240" w:lineRule="auto"/>
        <w:jc w:val="both"/>
        <w:rPr>
          <w:rFonts w:ascii="Cambria" w:eastAsia="Times New Roman" w:hAnsi="Cambria" w:cs="Times New Roman"/>
          <w:lang w:val="bs-Latn-BA"/>
        </w:rPr>
      </w:pPr>
    </w:p>
    <w:p w:rsidR="00993B1F" w:rsidRPr="00033459" w:rsidRDefault="00993B1F" w:rsidP="002F596A">
      <w:pPr>
        <w:spacing w:line="240" w:lineRule="auto"/>
        <w:jc w:val="both"/>
        <w:rPr>
          <w:rFonts w:ascii="Cambria" w:eastAsia="Times New Roman" w:hAnsi="Cambria" w:cs="Times New Roman"/>
          <w:lang w:val="bs-Latn-BA"/>
        </w:rPr>
      </w:pPr>
    </w:p>
    <w:p w:rsidR="00993B1F" w:rsidRPr="00033459" w:rsidRDefault="00993B1F" w:rsidP="002F596A">
      <w:pPr>
        <w:spacing w:line="240" w:lineRule="auto"/>
        <w:jc w:val="both"/>
        <w:rPr>
          <w:rFonts w:ascii="Cambria" w:eastAsia="Times New Roman" w:hAnsi="Cambria" w:cs="Times New Roman"/>
          <w:lang w:val="bs-Latn-BA"/>
        </w:rPr>
      </w:pPr>
    </w:p>
    <w:p w:rsidR="00993B1F" w:rsidRPr="00033459" w:rsidRDefault="00993B1F" w:rsidP="002F596A">
      <w:pPr>
        <w:spacing w:line="240" w:lineRule="auto"/>
        <w:jc w:val="both"/>
        <w:rPr>
          <w:rFonts w:ascii="Cambria" w:eastAsia="Times New Roman" w:hAnsi="Cambria" w:cs="Times New Roman"/>
          <w:lang w:val="bs-Latn-BA"/>
        </w:rPr>
      </w:pPr>
    </w:p>
    <w:p w:rsidR="00993B1F" w:rsidRPr="00033459" w:rsidRDefault="00993B1F" w:rsidP="002F596A">
      <w:pPr>
        <w:spacing w:line="240" w:lineRule="auto"/>
        <w:jc w:val="both"/>
        <w:rPr>
          <w:rFonts w:ascii="Cambria" w:eastAsia="Times New Roman" w:hAnsi="Cambria" w:cs="Times New Roman"/>
          <w:lang w:val="bs-Latn-BA"/>
        </w:rPr>
      </w:pPr>
    </w:p>
    <w:p w:rsidR="00993B1F" w:rsidRPr="00033459" w:rsidRDefault="00993B1F" w:rsidP="002F596A">
      <w:pPr>
        <w:spacing w:line="240" w:lineRule="auto"/>
        <w:jc w:val="both"/>
        <w:rPr>
          <w:rFonts w:ascii="Cambria" w:eastAsia="Times New Roman" w:hAnsi="Cambria" w:cs="Times New Roman"/>
          <w:lang w:val="bs-Latn-BA"/>
        </w:rPr>
      </w:pPr>
    </w:p>
    <w:p w:rsidR="00993B1F" w:rsidRPr="00033459" w:rsidRDefault="00993B1F" w:rsidP="002F596A">
      <w:pPr>
        <w:spacing w:line="240" w:lineRule="auto"/>
        <w:jc w:val="both"/>
        <w:rPr>
          <w:rFonts w:ascii="Cambria" w:eastAsia="Times New Roman" w:hAnsi="Cambria" w:cs="Times New Roman"/>
          <w:lang w:val="bs-Latn-BA"/>
        </w:rPr>
      </w:pPr>
    </w:p>
    <w:p w:rsidR="00993B1F" w:rsidRPr="00033459" w:rsidRDefault="00993B1F" w:rsidP="002F596A">
      <w:pPr>
        <w:jc w:val="both"/>
        <w:rPr>
          <w:rFonts w:ascii="Cambria" w:eastAsia="Calibri" w:hAnsi="Cambria"/>
          <w:lang w:val="bs-Latn-BA"/>
        </w:rPr>
      </w:pPr>
    </w:p>
    <w:p w:rsidR="00993B1F" w:rsidRPr="00033459" w:rsidRDefault="00993B1F" w:rsidP="002F596A">
      <w:pPr>
        <w:spacing w:line="240" w:lineRule="auto"/>
        <w:jc w:val="both"/>
        <w:rPr>
          <w:rFonts w:ascii="Cambria" w:eastAsia="Times New Roman" w:hAnsi="Cambria" w:cs="Times New Roman"/>
          <w:lang w:val="bs-Latn-BA"/>
        </w:rPr>
      </w:pPr>
    </w:p>
    <w:p w:rsidR="00993B1F" w:rsidRPr="00033459" w:rsidRDefault="00993B1F" w:rsidP="002F596A">
      <w:pPr>
        <w:jc w:val="both"/>
        <w:rPr>
          <w:rFonts w:ascii="Cambria" w:hAnsi="Cambria"/>
          <w:lang w:val="bs-Latn-BA"/>
        </w:rPr>
      </w:pPr>
    </w:p>
    <w:p w:rsidR="00993B1F" w:rsidRPr="00033459" w:rsidRDefault="00993B1F" w:rsidP="002F596A">
      <w:pPr>
        <w:jc w:val="both"/>
        <w:rPr>
          <w:rFonts w:ascii="Cambria" w:hAnsi="Cambria"/>
          <w:lang w:val="bs-Latn-BA"/>
        </w:rPr>
      </w:pPr>
    </w:p>
    <w:p w:rsidR="00993B1F" w:rsidRPr="00033459" w:rsidRDefault="00993B1F" w:rsidP="002F596A">
      <w:pPr>
        <w:jc w:val="both"/>
        <w:rPr>
          <w:rFonts w:ascii="Cambria" w:hAnsi="Cambria"/>
          <w:lang w:val="bs-Latn-BA"/>
        </w:rPr>
      </w:pPr>
    </w:p>
    <w:sectPr w:rsidR="00993B1F" w:rsidRPr="00033459">
      <w:footerReference w:type="default" r:id="rId22"/>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75FD" w:rsidRDefault="009175FD">
      <w:pPr>
        <w:spacing w:after="0" w:line="240" w:lineRule="auto"/>
      </w:pPr>
      <w:r>
        <w:separator/>
      </w:r>
    </w:p>
  </w:endnote>
  <w:endnote w:type="continuationSeparator" w:id="0">
    <w:p w:rsidR="009175FD" w:rsidRDefault="009175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embedRegular r:id="rId1" w:fontKey="{D64ECAA2-D071-472F-8C2E-814CD5CAE20E}"/>
  </w:font>
  <w:font w:name="Calibri">
    <w:panose1 w:val="020F0502020204030204"/>
    <w:charset w:val="EE"/>
    <w:family w:val="swiss"/>
    <w:pitch w:val="variable"/>
    <w:sig w:usb0="E4002EFF" w:usb1="C200247B" w:usb2="00000009" w:usb3="00000000" w:csb0="000001FF" w:csb1="00000000"/>
    <w:embedRegular r:id="rId2" w:fontKey="{9FB10305-BD1F-4D5E-9FEA-B9E04E08C99E}"/>
    <w:embedBold r:id="rId3" w:fontKey="{4330EAE7-F4BD-4C20-9648-E1ED6C0ED83F}"/>
    <w:embedItalic r:id="rId4" w:fontKey="{70E587A4-1455-444D-9333-C85CC51ADD0A}"/>
  </w:font>
  <w:font w:name="Cambria">
    <w:panose1 w:val="02040503050406030204"/>
    <w:charset w:val="EE"/>
    <w:family w:val="roman"/>
    <w:pitch w:val="variable"/>
    <w:sig w:usb0="E00006FF" w:usb1="420024FF" w:usb2="02000000" w:usb3="00000000" w:csb0="0000019F" w:csb1="00000000"/>
    <w:embedRegular r:id="rId5" w:fontKey="{F23BE664-E650-48F9-997D-32451FCAB18E}"/>
    <w:embedBold r:id="rId6" w:fontKey="{A6B01EA1-4700-40B5-B665-822FCAECDF60}"/>
    <w:embedItalic r:id="rId7" w:fontKey="{335D103C-A306-44EA-B33B-3283A75CE532}"/>
    <w:embedBoldItalic r:id="rId8" w:fontKey="{4F29E603-319F-4648-B22A-D692FE36FBFB}"/>
  </w:font>
  <w:font w:name="Calibri Light">
    <w:panose1 w:val="020F0302020204030204"/>
    <w:charset w:val="EE"/>
    <w:family w:val="swiss"/>
    <w:pitch w:val="variable"/>
    <w:sig w:usb0="E4002EFF" w:usb1="C200247B" w:usb2="00000009" w:usb3="00000000" w:csb0="000001FF" w:csb1="00000000"/>
    <w:embedRegular r:id="rId9" w:fontKey="{892285F8-E3A7-4EDD-8024-2B15895B590F}"/>
    <w:embedItalic r:id="rId10" w:fontKey="{96D9F3AB-4819-45E6-93CD-8946952282AD}"/>
  </w:font>
  <w:font w:name="Verdana">
    <w:panose1 w:val="020B0604030504040204"/>
    <w:charset w:val="EE"/>
    <w:family w:val="swiss"/>
    <w:pitch w:val="variable"/>
    <w:sig w:usb0="A00006FF" w:usb1="4000205B" w:usb2="00000010" w:usb3="00000000" w:csb0="0000019F" w:csb1="00000000"/>
    <w:embedRegular r:id="rId11" w:fontKey="{A7583C9B-2E00-4B4E-BBD0-BA3E44EEF6CB}"/>
  </w:font>
  <w:font w:name="Segoe UI">
    <w:panose1 w:val="020B0502040204020203"/>
    <w:charset w:val="EE"/>
    <w:family w:val="swiss"/>
    <w:pitch w:val="variable"/>
    <w:sig w:usb0="E4002EFF" w:usb1="C000E47F" w:usb2="00000009" w:usb3="00000000" w:csb0="000001FF" w:csb1="00000000"/>
    <w:embedRegular r:id="rId12" w:fontKey="{BF222405-A2C4-43D0-AA59-36A197D0C5DB}"/>
  </w:font>
  <w:font w:name="Georgia">
    <w:panose1 w:val="02040502050405020303"/>
    <w:charset w:val="EE"/>
    <w:family w:val="roman"/>
    <w:pitch w:val="variable"/>
    <w:sig w:usb0="00000287" w:usb1="00000000" w:usb2="00000000" w:usb3="00000000" w:csb0="0000009F" w:csb1="00000000"/>
    <w:embedRegular r:id="rId13" w:fontKey="{3C56B363-7BA6-4C16-A31D-9F2CBC96F08E}"/>
    <w:embedItalic r:id="rId14" w:fontKey="{5AE2D8BF-9623-4EF6-B83B-7BF25036E269}"/>
  </w:font>
  <w:font w:name="Gill Sans MT">
    <w:panose1 w:val="020B0502020104020203"/>
    <w:charset w:val="EE"/>
    <w:family w:val="swiss"/>
    <w:pitch w:val="variable"/>
    <w:sig w:usb0="00000007" w:usb1="00000000" w:usb2="00000000" w:usb3="00000000" w:csb0="00000003" w:csb1="00000000"/>
    <w:embedRegular r:id="rId15" w:fontKey="{467FAB29-A98F-4A78-8668-88E030A061C9}"/>
    <w:embedBold r:id="rId16" w:fontKey="{C7710E4B-25E6-4C1F-B21A-054544E9C459}"/>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3B1F" w:rsidRDefault="00942562">
    <w:pPr>
      <w:pBdr>
        <w:top w:val="nil"/>
        <w:left w:val="nil"/>
        <w:bottom w:val="nil"/>
        <w:right w:val="nil"/>
        <w:between w:val="nil"/>
      </w:pBdr>
      <w:tabs>
        <w:tab w:val="center" w:pos="4513"/>
        <w:tab w:val="right" w:pos="9026"/>
      </w:tabs>
      <w:spacing w:after="0" w:line="240" w:lineRule="auto"/>
      <w:jc w:val="center"/>
      <w:rPr>
        <w:rFonts w:eastAsia="Calibri"/>
        <w:color w:val="000000"/>
      </w:rPr>
    </w:pPr>
    <w:r>
      <w:rPr>
        <w:rFonts w:eastAsia="Calibri"/>
        <w:color w:val="000000"/>
      </w:rPr>
      <w:fldChar w:fldCharType="begin"/>
    </w:r>
    <w:r>
      <w:rPr>
        <w:rFonts w:eastAsia="Calibri"/>
        <w:color w:val="000000"/>
      </w:rPr>
      <w:instrText>PAGE</w:instrText>
    </w:r>
    <w:r>
      <w:rPr>
        <w:rFonts w:eastAsia="Calibri"/>
        <w:color w:val="000000"/>
      </w:rPr>
      <w:fldChar w:fldCharType="separate"/>
    </w:r>
    <w:r w:rsidR="00CC26AD">
      <w:rPr>
        <w:rFonts w:eastAsia="Calibri"/>
        <w:noProof/>
        <w:color w:val="000000"/>
      </w:rPr>
      <w:t>3</w:t>
    </w:r>
    <w:r>
      <w:rPr>
        <w:rFonts w:eastAsia="Calibri"/>
        <w:color w:val="000000"/>
      </w:rPr>
      <w:fldChar w:fldCharType="end"/>
    </w:r>
  </w:p>
  <w:p w:rsidR="00993B1F" w:rsidRDefault="00993B1F">
    <w:pPr>
      <w:pBdr>
        <w:top w:val="nil"/>
        <w:left w:val="nil"/>
        <w:bottom w:val="nil"/>
        <w:right w:val="nil"/>
        <w:between w:val="nil"/>
      </w:pBdr>
      <w:tabs>
        <w:tab w:val="center" w:pos="4513"/>
        <w:tab w:val="right" w:pos="9026"/>
      </w:tabs>
      <w:spacing w:after="0" w:line="240" w:lineRule="auto"/>
      <w:rPr>
        <w:rFonts w:eastAsia="Calibri"/>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75FD" w:rsidRDefault="009175FD">
      <w:pPr>
        <w:spacing w:after="0" w:line="240" w:lineRule="auto"/>
      </w:pPr>
      <w:r>
        <w:separator/>
      </w:r>
    </w:p>
  </w:footnote>
  <w:footnote w:type="continuationSeparator" w:id="0">
    <w:p w:rsidR="009175FD" w:rsidRDefault="009175F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B34A8D"/>
    <w:multiLevelType w:val="multilevel"/>
    <w:tmpl w:val="7802729E"/>
    <w:lvl w:ilvl="0">
      <w:start w:val="1"/>
      <w:numFmt w:val="bullet"/>
      <w:lvlText w:val="•"/>
      <w:lvlJc w:val="left"/>
      <w:pPr>
        <w:ind w:left="720" w:hanging="360"/>
      </w:pPr>
      <w:rPr>
        <w:rFonts w:ascii="Times New Roman" w:eastAsia="Times New Roman" w:hAnsi="Times New Roman" w:cs="Times New Roman"/>
      </w:rPr>
    </w:lvl>
    <w:lvl w:ilvl="1">
      <w:start w:va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Times New Roman" w:eastAsia="Times New Roman" w:hAnsi="Times New Roman" w:cs="Times New Roman"/>
      </w:rPr>
    </w:lvl>
    <w:lvl w:ilvl="3">
      <w:start w:val="1"/>
      <w:numFmt w:val="bullet"/>
      <w:lvlText w:val="•"/>
      <w:lvlJc w:val="left"/>
      <w:pPr>
        <w:ind w:left="2880" w:hanging="360"/>
      </w:pPr>
      <w:rPr>
        <w:rFonts w:ascii="Times New Roman" w:eastAsia="Times New Roman" w:hAnsi="Times New Roman" w:cs="Times New Roman"/>
      </w:rPr>
    </w:lvl>
    <w:lvl w:ilvl="4">
      <w:start w:val="1"/>
      <w:numFmt w:val="bullet"/>
      <w:lvlText w:val="•"/>
      <w:lvlJc w:val="left"/>
      <w:pPr>
        <w:ind w:left="3600" w:hanging="360"/>
      </w:pPr>
      <w:rPr>
        <w:rFonts w:ascii="Times New Roman" w:eastAsia="Times New Roman" w:hAnsi="Times New Roman" w:cs="Times New Roman"/>
      </w:rPr>
    </w:lvl>
    <w:lvl w:ilvl="5">
      <w:start w:val="1"/>
      <w:numFmt w:val="bullet"/>
      <w:lvlText w:val="•"/>
      <w:lvlJc w:val="left"/>
      <w:pPr>
        <w:ind w:left="4320" w:hanging="360"/>
      </w:pPr>
      <w:rPr>
        <w:rFonts w:ascii="Times New Roman" w:eastAsia="Times New Roman" w:hAnsi="Times New Roman" w:cs="Times New Roman"/>
      </w:rPr>
    </w:lvl>
    <w:lvl w:ilvl="6">
      <w:start w:val="1"/>
      <w:numFmt w:val="bullet"/>
      <w:lvlText w:val="•"/>
      <w:lvlJc w:val="left"/>
      <w:pPr>
        <w:ind w:left="5040" w:hanging="360"/>
      </w:pPr>
      <w:rPr>
        <w:rFonts w:ascii="Times New Roman" w:eastAsia="Times New Roman" w:hAnsi="Times New Roman" w:cs="Times New Roman"/>
      </w:rPr>
    </w:lvl>
    <w:lvl w:ilvl="7">
      <w:start w:val="1"/>
      <w:numFmt w:val="bullet"/>
      <w:lvlText w:val="•"/>
      <w:lvlJc w:val="left"/>
      <w:pPr>
        <w:ind w:left="5760" w:hanging="360"/>
      </w:pPr>
      <w:rPr>
        <w:rFonts w:ascii="Times New Roman" w:eastAsia="Times New Roman" w:hAnsi="Times New Roman" w:cs="Times New Roman"/>
      </w:rPr>
    </w:lvl>
    <w:lvl w:ilvl="8">
      <w:start w:val="1"/>
      <w:numFmt w:val="bullet"/>
      <w:lvlText w:val="•"/>
      <w:lvlJc w:val="left"/>
      <w:pPr>
        <w:ind w:left="6480" w:hanging="360"/>
      </w:pPr>
      <w:rPr>
        <w:rFonts w:ascii="Times New Roman" w:eastAsia="Times New Roman" w:hAnsi="Times New Roman" w:cs="Times New Roman"/>
      </w:rPr>
    </w:lvl>
  </w:abstractNum>
  <w:abstractNum w:abstractNumId="1" w15:restartNumberingAfterBreak="0">
    <w:nsid w:val="21690002"/>
    <w:multiLevelType w:val="multilevel"/>
    <w:tmpl w:val="F57AF234"/>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2" w15:restartNumberingAfterBreak="0">
    <w:nsid w:val="23261A14"/>
    <w:multiLevelType w:val="multilevel"/>
    <w:tmpl w:val="635E9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DF49AD"/>
    <w:multiLevelType w:val="multilevel"/>
    <w:tmpl w:val="8EF85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085408"/>
    <w:multiLevelType w:val="multilevel"/>
    <w:tmpl w:val="FD9C17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B865EBB"/>
    <w:multiLevelType w:val="multilevel"/>
    <w:tmpl w:val="F51265A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decimal"/>
      <w:lvlText w:val="%3."/>
      <w:lvlJc w:val="left"/>
      <w:pPr>
        <w:ind w:left="1352" w:hanging="360"/>
      </w:pPr>
    </w:lvl>
    <w:lvl w:ilvl="3">
      <w:start w:val="9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04870E5"/>
    <w:multiLevelType w:val="multilevel"/>
    <w:tmpl w:val="C87A9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EA48EA"/>
    <w:multiLevelType w:val="multilevel"/>
    <w:tmpl w:val="10481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E57BE3"/>
    <w:multiLevelType w:val="multilevel"/>
    <w:tmpl w:val="1B6A36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AE030EB"/>
    <w:multiLevelType w:val="multilevel"/>
    <w:tmpl w:val="C4103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2F51DD5"/>
    <w:multiLevelType w:val="multilevel"/>
    <w:tmpl w:val="6B9E2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6272ED4"/>
    <w:multiLevelType w:val="multilevel"/>
    <w:tmpl w:val="6F3A87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B4B7A5B"/>
    <w:multiLevelType w:val="multilevel"/>
    <w:tmpl w:val="80000FF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15:restartNumberingAfterBreak="0">
    <w:nsid w:val="6DF93236"/>
    <w:multiLevelType w:val="multilevel"/>
    <w:tmpl w:val="E6A8603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74B93301"/>
    <w:multiLevelType w:val="multilevel"/>
    <w:tmpl w:val="BE80AB34"/>
    <w:lvl w:ilvl="0">
      <w:start w:val="1"/>
      <w:numFmt w:val="bullet"/>
      <w:lvlText w:val="•"/>
      <w:lvlJc w:val="left"/>
      <w:pPr>
        <w:ind w:left="720" w:hanging="360"/>
      </w:pPr>
      <w:rPr>
        <w:rFonts w:ascii="Times New Roman" w:eastAsia="Times New Roman" w:hAnsi="Times New Roman" w:cs="Times New Roman"/>
      </w:rPr>
    </w:lvl>
    <w:lvl w:ilvl="1">
      <w:start w:va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Times New Roman" w:eastAsia="Times New Roman" w:hAnsi="Times New Roman" w:cs="Times New Roman"/>
      </w:rPr>
    </w:lvl>
    <w:lvl w:ilvl="3">
      <w:start w:val="1"/>
      <w:numFmt w:val="bullet"/>
      <w:lvlText w:val="•"/>
      <w:lvlJc w:val="left"/>
      <w:pPr>
        <w:ind w:left="2880" w:hanging="360"/>
      </w:pPr>
      <w:rPr>
        <w:rFonts w:ascii="Times New Roman" w:eastAsia="Times New Roman" w:hAnsi="Times New Roman" w:cs="Times New Roman"/>
      </w:rPr>
    </w:lvl>
    <w:lvl w:ilvl="4">
      <w:start w:val="1"/>
      <w:numFmt w:val="bullet"/>
      <w:lvlText w:val="•"/>
      <w:lvlJc w:val="left"/>
      <w:pPr>
        <w:ind w:left="3600" w:hanging="360"/>
      </w:pPr>
      <w:rPr>
        <w:rFonts w:ascii="Times New Roman" w:eastAsia="Times New Roman" w:hAnsi="Times New Roman" w:cs="Times New Roman"/>
      </w:rPr>
    </w:lvl>
    <w:lvl w:ilvl="5">
      <w:start w:val="1"/>
      <w:numFmt w:val="bullet"/>
      <w:lvlText w:val="•"/>
      <w:lvlJc w:val="left"/>
      <w:pPr>
        <w:ind w:left="4320" w:hanging="360"/>
      </w:pPr>
      <w:rPr>
        <w:rFonts w:ascii="Times New Roman" w:eastAsia="Times New Roman" w:hAnsi="Times New Roman" w:cs="Times New Roman"/>
      </w:rPr>
    </w:lvl>
    <w:lvl w:ilvl="6">
      <w:start w:val="1"/>
      <w:numFmt w:val="bullet"/>
      <w:lvlText w:val="•"/>
      <w:lvlJc w:val="left"/>
      <w:pPr>
        <w:ind w:left="5040" w:hanging="360"/>
      </w:pPr>
      <w:rPr>
        <w:rFonts w:ascii="Times New Roman" w:eastAsia="Times New Roman" w:hAnsi="Times New Roman" w:cs="Times New Roman"/>
      </w:rPr>
    </w:lvl>
    <w:lvl w:ilvl="7">
      <w:start w:val="1"/>
      <w:numFmt w:val="bullet"/>
      <w:lvlText w:val="•"/>
      <w:lvlJc w:val="left"/>
      <w:pPr>
        <w:ind w:left="5760" w:hanging="360"/>
      </w:pPr>
      <w:rPr>
        <w:rFonts w:ascii="Times New Roman" w:eastAsia="Times New Roman" w:hAnsi="Times New Roman" w:cs="Times New Roman"/>
      </w:rPr>
    </w:lvl>
    <w:lvl w:ilvl="8">
      <w:start w:val="1"/>
      <w:numFmt w:val="bullet"/>
      <w:lvlText w:val="•"/>
      <w:lvlJc w:val="left"/>
      <w:pPr>
        <w:ind w:left="6480" w:hanging="360"/>
      </w:pPr>
      <w:rPr>
        <w:rFonts w:ascii="Times New Roman" w:eastAsia="Times New Roman" w:hAnsi="Times New Roman" w:cs="Times New Roman"/>
      </w:rPr>
    </w:lvl>
  </w:abstractNum>
  <w:abstractNum w:abstractNumId="15" w15:restartNumberingAfterBreak="0">
    <w:nsid w:val="7D091643"/>
    <w:multiLevelType w:val="multilevel"/>
    <w:tmpl w:val="56C65C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7F344830"/>
    <w:multiLevelType w:val="multilevel"/>
    <w:tmpl w:val="165E7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13"/>
  </w:num>
  <w:num w:numId="3">
    <w:abstractNumId w:val="0"/>
  </w:num>
  <w:num w:numId="4">
    <w:abstractNumId w:val="14"/>
  </w:num>
  <w:num w:numId="5">
    <w:abstractNumId w:val="4"/>
  </w:num>
  <w:num w:numId="6">
    <w:abstractNumId w:val="15"/>
  </w:num>
  <w:num w:numId="7">
    <w:abstractNumId w:val="1"/>
  </w:num>
  <w:num w:numId="8">
    <w:abstractNumId w:val="5"/>
  </w:num>
  <w:num w:numId="9">
    <w:abstractNumId w:val="11"/>
  </w:num>
  <w:num w:numId="10">
    <w:abstractNumId w:val="12"/>
  </w:num>
  <w:num w:numId="11">
    <w:abstractNumId w:val="9"/>
  </w:num>
  <w:num w:numId="12">
    <w:abstractNumId w:val="3"/>
  </w:num>
  <w:num w:numId="13">
    <w:abstractNumId w:val="16"/>
  </w:num>
  <w:num w:numId="14">
    <w:abstractNumId w:val="10"/>
  </w:num>
  <w:num w:numId="15">
    <w:abstractNumId w:val="2"/>
  </w:num>
  <w:num w:numId="16">
    <w:abstractNumId w:val="7"/>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3B1F"/>
    <w:rsid w:val="00033459"/>
    <w:rsid w:val="002F596A"/>
    <w:rsid w:val="004F32B1"/>
    <w:rsid w:val="00675486"/>
    <w:rsid w:val="00744078"/>
    <w:rsid w:val="009175FD"/>
    <w:rsid w:val="00942562"/>
    <w:rsid w:val="00993B1F"/>
    <w:rsid w:val="00CC26AD"/>
    <w:rsid w:val="00DD59C1"/>
    <w:rsid w:val="00E0089A"/>
    <w:rsid w:val="00E257D2"/>
    <w:rsid w:val="00E542BE"/>
    <w:rsid w:val="00FA6C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F80021-B844-4C9E-AC3F-F6D67D21B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bs-Latn-BA"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eastAsiaTheme="minorHAnsi"/>
      <w:lang w:val="en-GB" w:eastAsia="en-US"/>
    </w:rPr>
  </w:style>
  <w:style w:type="paragraph" w:styleId="Heading1">
    <w:name w:val="heading 1"/>
    <w:basedOn w:val="Normal"/>
    <w:uiPriority w:val="9"/>
    <w:qFormat/>
    <w:rsid w:val="002F596A"/>
    <w:pPr>
      <w:spacing w:line="240" w:lineRule="auto"/>
      <w:jc w:val="both"/>
      <w:outlineLvl w:val="0"/>
    </w:pPr>
    <w:rPr>
      <w:rFonts w:ascii="Cambria" w:eastAsia="Times New Roman" w:hAnsi="Cambria" w:cs="Times New Roman"/>
      <w:b/>
      <w:bCs/>
      <w:color w:val="1F4E79" w:themeColor="accent1" w:themeShade="80"/>
      <w:lang w:val="pl-PL"/>
    </w:rPr>
  </w:style>
  <w:style w:type="paragraph" w:styleId="Heading2">
    <w:name w:val="heading 2"/>
    <w:basedOn w:val="Normal"/>
    <w:next w:val="Normal"/>
    <w:uiPriority w:val="9"/>
    <w:unhideWhenUsed/>
    <w:qFormat/>
    <w:rsid w:val="002F596A"/>
    <w:pPr>
      <w:jc w:val="both"/>
      <w:outlineLvl w:val="1"/>
    </w:pPr>
    <w:rPr>
      <w:rFonts w:ascii="Cambria" w:eastAsia="Times New Roman" w:hAnsi="Cambria" w:cs="Times New Roman"/>
      <w:b/>
      <w:color w:val="44546A" w:themeColor="text2"/>
      <w:lang w:val="bs-Latn-BA"/>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uiPriority w:val="1"/>
    <w:qFormat/>
    <w:pPr>
      <w:widowControl w:val="0"/>
      <w:tabs>
        <w:tab w:val="left" w:pos="5103"/>
      </w:tabs>
      <w:autoSpaceDE w:val="0"/>
      <w:autoSpaceDN w:val="0"/>
      <w:spacing w:after="0" w:line="276" w:lineRule="auto"/>
      <w:ind w:left="100" w:right="4"/>
      <w:jc w:val="both"/>
    </w:pPr>
    <w:rPr>
      <w:rFonts w:asciiTheme="majorHAnsi" w:eastAsia="Verdana" w:hAnsiTheme="majorHAnsi" w:cs="Times New Roman"/>
      <w:lang w:val="bs-Latn-BA"/>
    </w:rPr>
  </w:style>
  <w:style w:type="paragraph" w:styleId="Footer">
    <w:name w:val="footer"/>
    <w:basedOn w:val="Normal"/>
    <w:uiPriority w:val="99"/>
    <w:unhideWhenUsed/>
    <w:qFormat/>
    <w:pPr>
      <w:tabs>
        <w:tab w:val="center" w:pos="4513"/>
        <w:tab w:val="right" w:pos="9026"/>
      </w:tabs>
      <w:spacing w:after="0" w:line="240" w:lineRule="auto"/>
    </w:pPr>
  </w:style>
  <w:style w:type="character" w:styleId="Hyperlink">
    <w:name w:val="Hyperlink"/>
    <w:basedOn w:val="DefaultParagraphFont"/>
    <w:uiPriority w:val="99"/>
    <w:unhideWhenUsed/>
    <w:qFormat/>
    <w:rPr>
      <w:color w:val="0000FF"/>
      <w:u w:val="single"/>
    </w:rPr>
  </w:style>
  <w:style w:type="paragraph" w:styleId="TOC1">
    <w:name w:val="toc 1"/>
    <w:basedOn w:val="Normal"/>
    <w:next w:val="Normal"/>
    <w:uiPriority w:val="39"/>
    <w:unhideWhenUsed/>
    <w:qFormat/>
    <w:pPr>
      <w:spacing w:after="100"/>
    </w:pPr>
  </w:style>
  <w:style w:type="paragraph" w:styleId="TOC2">
    <w:name w:val="toc 2"/>
    <w:basedOn w:val="Normal"/>
    <w:next w:val="Normal"/>
    <w:uiPriority w:val="39"/>
    <w:unhideWhenUsed/>
    <w:qFormat/>
    <w:pPr>
      <w:spacing w:after="100"/>
      <w:ind w:left="220"/>
    </w:pPr>
  </w:style>
  <w:style w:type="paragraph" w:customStyle="1" w:styleId="TOCNaslov1">
    <w:name w:val="TOC Naslov1"/>
    <w:basedOn w:val="Heading1"/>
    <w:next w:val="Normal"/>
    <w:uiPriority w:val="39"/>
    <w:unhideWhenUsed/>
    <w:qFormat/>
    <w:pPr>
      <w:spacing w:before="240" w:line="259" w:lineRule="auto"/>
      <w:jc w:val="left"/>
      <w:outlineLvl w:val="9"/>
    </w:pPr>
    <w:rPr>
      <w:rFonts w:asciiTheme="majorHAnsi" w:eastAsiaTheme="majorEastAsia" w:hAnsiTheme="majorHAnsi" w:cstheme="majorBidi"/>
      <w:b w:val="0"/>
      <w:sz w:val="32"/>
      <w:szCs w:val="32"/>
      <w:lang w:val="en-US"/>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rsid w:val="00F312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F31292"/>
    <w:rPr>
      <w:rFonts w:ascii="Segoe UI" w:eastAsiaTheme="minorHAnsi" w:hAnsi="Segoe UI" w:cs="Segoe UI"/>
      <w:sz w:val="18"/>
      <w:szCs w:val="18"/>
      <w:lang w:val="en-GB"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eastAsiaTheme="minorHAnsi"/>
      <w:sz w:val="20"/>
      <w:szCs w:val="20"/>
      <w:lang w:val="en-GB" w:eastAsia="en-US"/>
    </w:rPr>
  </w:style>
  <w:style w:type="character" w:styleId="CommentReference">
    <w:name w:val="annotation reference"/>
    <w:basedOn w:val="DefaultParagraphFont"/>
    <w:uiPriority w:val="99"/>
    <w:semiHidden/>
    <w:unhideWhenUsed/>
    <w:rPr>
      <w:sz w:val="16"/>
      <w:szCs w:val="16"/>
    </w:rPr>
  </w:style>
  <w:style w:type="paragraph" w:styleId="NormalWeb">
    <w:name w:val="Normal (Web)"/>
    <w:basedOn w:val="Normal"/>
    <w:uiPriority w:val="99"/>
    <w:semiHidden/>
    <w:unhideWhenUsed/>
    <w:rsid w:val="004F32B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4F32B1"/>
    <w:rPr>
      <w:b/>
      <w:bCs/>
    </w:rPr>
  </w:style>
  <w:style w:type="table" w:styleId="GridTable1Light-Accent1">
    <w:name w:val="Grid Table 1 Light Accent 1"/>
    <w:basedOn w:val="TableNormal"/>
    <w:uiPriority w:val="46"/>
    <w:rsid w:val="002F596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F596A"/>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3-Accent1">
    <w:name w:val="Grid Table 3 Accent 1"/>
    <w:basedOn w:val="TableNormal"/>
    <w:uiPriority w:val="48"/>
    <w:rsid w:val="002F596A"/>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character" w:customStyle="1" w:styleId="UnresolvedMention">
    <w:name w:val="Unresolved Mention"/>
    <w:basedOn w:val="DefaultParagraphFont"/>
    <w:uiPriority w:val="99"/>
    <w:semiHidden/>
    <w:unhideWhenUsed/>
    <w:rsid w:val="002F596A"/>
    <w:rPr>
      <w:color w:val="605E5C"/>
      <w:shd w:val="clear" w:color="auto" w:fill="E1DFDD"/>
    </w:rPr>
  </w:style>
  <w:style w:type="table" w:styleId="GridTable2-Accent5">
    <w:name w:val="Grid Table 2 Accent 5"/>
    <w:basedOn w:val="TableNormal"/>
    <w:uiPriority w:val="47"/>
    <w:rsid w:val="00033459"/>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TOCHeading">
    <w:name w:val="TOC Heading"/>
    <w:basedOn w:val="Heading1"/>
    <w:next w:val="Normal"/>
    <w:uiPriority w:val="39"/>
    <w:unhideWhenUsed/>
    <w:qFormat/>
    <w:rsid w:val="00E542BE"/>
    <w:pPr>
      <w:keepNext/>
      <w:keepLines/>
      <w:spacing w:before="240" w:after="0" w:line="259" w:lineRule="auto"/>
      <w:jc w:val="left"/>
      <w:outlineLvl w:val="9"/>
    </w:pPr>
    <w:rPr>
      <w:rFonts w:asciiTheme="majorHAnsi" w:eastAsiaTheme="majorEastAsia" w:hAnsiTheme="majorHAnsi" w:cstheme="majorBidi"/>
      <w:b w:val="0"/>
      <w:bCs w:val="0"/>
      <w:color w:val="2E74B5"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884383">
      <w:bodyDiv w:val="1"/>
      <w:marLeft w:val="0"/>
      <w:marRight w:val="0"/>
      <w:marTop w:val="0"/>
      <w:marBottom w:val="0"/>
      <w:divBdr>
        <w:top w:val="none" w:sz="0" w:space="0" w:color="auto"/>
        <w:left w:val="none" w:sz="0" w:space="0" w:color="auto"/>
        <w:bottom w:val="none" w:sz="0" w:space="0" w:color="auto"/>
        <w:right w:val="none" w:sz="0" w:space="0" w:color="auto"/>
      </w:divBdr>
    </w:div>
    <w:div w:id="532231862">
      <w:bodyDiv w:val="1"/>
      <w:marLeft w:val="0"/>
      <w:marRight w:val="0"/>
      <w:marTop w:val="0"/>
      <w:marBottom w:val="0"/>
      <w:divBdr>
        <w:top w:val="none" w:sz="0" w:space="0" w:color="auto"/>
        <w:left w:val="none" w:sz="0" w:space="0" w:color="auto"/>
        <w:bottom w:val="none" w:sz="0" w:space="0" w:color="auto"/>
        <w:right w:val="none" w:sz="0" w:space="0" w:color="auto"/>
      </w:divBdr>
    </w:div>
    <w:div w:id="577594326">
      <w:bodyDiv w:val="1"/>
      <w:marLeft w:val="0"/>
      <w:marRight w:val="0"/>
      <w:marTop w:val="0"/>
      <w:marBottom w:val="0"/>
      <w:divBdr>
        <w:top w:val="none" w:sz="0" w:space="0" w:color="auto"/>
        <w:left w:val="none" w:sz="0" w:space="0" w:color="auto"/>
        <w:bottom w:val="none" w:sz="0" w:space="0" w:color="auto"/>
        <w:right w:val="none" w:sz="0" w:space="0" w:color="auto"/>
      </w:divBdr>
    </w:div>
    <w:div w:id="744299961">
      <w:bodyDiv w:val="1"/>
      <w:marLeft w:val="0"/>
      <w:marRight w:val="0"/>
      <w:marTop w:val="0"/>
      <w:marBottom w:val="0"/>
      <w:divBdr>
        <w:top w:val="none" w:sz="0" w:space="0" w:color="auto"/>
        <w:left w:val="none" w:sz="0" w:space="0" w:color="auto"/>
        <w:bottom w:val="none" w:sz="0" w:space="0" w:color="auto"/>
        <w:right w:val="none" w:sz="0" w:space="0" w:color="auto"/>
      </w:divBdr>
    </w:div>
    <w:div w:id="749935606">
      <w:bodyDiv w:val="1"/>
      <w:marLeft w:val="0"/>
      <w:marRight w:val="0"/>
      <w:marTop w:val="0"/>
      <w:marBottom w:val="0"/>
      <w:divBdr>
        <w:top w:val="none" w:sz="0" w:space="0" w:color="auto"/>
        <w:left w:val="none" w:sz="0" w:space="0" w:color="auto"/>
        <w:bottom w:val="none" w:sz="0" w:space="0" w:color="auto"/>
        <w:right w:val="none" w:sz="0" w:space="0" w:color="auto"/>
      </w:divBdr>
    </w:div>
    <w:div w:id="759834633">
      <w:bodyDiv w:val="1"/>
      <w:marLeft w:val="0"/>
      <w:marRight w:val="0"/>
      <w:marTop w:val="0"/>
      <w:marBottom w:val="0"/>
      <w:divBdr>
        <w:top w:val="none" w:sz="0" w:space="0" w:color="auto"/>
        <w:left w:val="none" w:sz="0" w:space="0" w:color="auto"/>
        <w:bottom w:val="none" w:sz="0" w:space="0" w:color="auto"/>
        <w:right w:val="none" w:sz="0" w:space="0" w:color="auto"/>
      </w:divBdr>
    </w:div>
    <w:div w:id="826751489">
      <w:bodyDiv w:val="1"/>
      <w:marLeft w:val="0"/>
      <w:marRight w:val="0"/>
      <w:marTop w:val="0"/>
      <w:marBottom w:val="0"/>
      <w:divBdr>
        <w:top w:val="none" w:sz="0" w:space="0" w:color="auto"/>
        <w:left w:val="none" w:sz="0" w:space="0" w:color="auto"/>
        <w:bottom w:val="none" w:sz="0" w:space="0" w:color="auto"/>
        <w:right w:val="none" w:sz="0" w:space="0" w:color="auto"/>
      </w:divBdr>
    </w:div>
    <w:div w:id="1047218837">
      <w:bodyDiv w:val="1"/>
      <w:marLeft w:val="0"/>
      <w:marRight w:val="0"/>
      <w:marTop w:val="0"/>
      <w:marBottom w:val="0"/>
      <w:divBdr>
        <w:top w:val="none" w:sz="0" w:space="0" w:color="auto"/>
        <w:left w:val="none" w:sz="0" w:space="0" w:color="auto"/>
        <w:bottom w:val="none" w:sz="0" w:space="0" w:color="auto"/>
        <w:right w:val="none" w:sz="0" w:space="0" w:color="auto"/>
      </w:divBdr>
    </w:div>
    <w:div w:id="1924338961">
      <w:bodyDiv w:val="1"/>
      <w:marLeft w:val="0"/>
      <w:marRight w:val="0"/>
      <w:marTop w:val="0"/>
      <w:marBottom w:val="0"/>
      <w:divBdr>
        <w:top w:val="none" w:sz="0" w:space="0" w:color="auto"/>
        <w:left w:val="none" w:sz="0" w:space="0" w:color="auto"/>
        <w:bottom w:val="none" w:sz="0" w:space="0" w:color="auto"/>
        <w:right w:val="none" w:sz="0" w:space="0" w:color="auto"/>
      </w:divBdr>
    </w:div>
    <w:div w:id="1948848693">
      <w:bodyDiv w:val="1"/>
      <w:marLeft w:val="0"/>
      <w:marRight w:val="0"/>
      <w:marTop w:val="0"/>
      <w:marBottom w:val="0"/>
      <w:divBdr>
        <w:top w:val="none" w:sz="0" w:space="0" w:color="auto"/>
        <w:left w:val="none" w:sz="0" w:space="0" w:color="auto"/>
        <w:bottom w:val="none" w:sz="0" w:space="0" w:color="auto"/>
        <w:right w:val="none" w:sz="0" w:space="0" w:color="auto"/>
      </w:divBdr>
    </w:div>
    <w:div w:id="1951080401">
      <w:bodyDiv w:val="1"/>
      <w:marLeft w:val="0"/>
      <w:marRight w:val="0"/>
      <w:marTop w:val="0"/>
      <w:marBottom w:val="0"/>
      <w:divBdr>
        <w:top w:val="none" w:sz="0" w:space="0" w:color="auto"/>
        <w:left w:val="none" w:sz="0" w:space="0" w:color="auto"/>
        <w:bottom w:val="none" w:sz="0" w:space="0" w:color="auto"/>
        <w:right w:val="none" w:sz="0" w:space="0" w:color="auto"/>
      </w:divBdr>
    </w:div>
    <w:div w:id="2088845697">
      <w:bodyDiv w:val="1"/>
      <w:marLeft w:val="0"/>
      <w:marRight w:val="0"/>
      <w:marTop w:val="0"/>
      <w:marBottom w:val="0"/>
      <w:divBdr>
        <w:top w:val="none" w:sz="0" w:space="0" w:color="auto"/>
        <w:left w:val="none" w:sz="0" w:space="0" w:color="auto"/>
        <w:bottom w:val="none" w:sz="0" w:space="0" w:color="auto"/>
        <w:right w:val="none" w:sz="0" w:space="0" w:color="auto"/>
      </w:divBdr>
    </w:div>
    <w:div w:id="21059567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Colors" Target="diagrams/colors1.xml"/><Relationship Id="rId18" Type="http://schemas.openxmlformats.org/officeDocument/2006/relationships/image" Target="media/image5.png"/><Relationship Id="rId3" Type="http://schemas.openxmlformats.org/officeDocument/2006/relationships/numbering" Target="numbering.xml"/><Relationship Id="rId21" Type="http://schemas.openxmlformats.org/officeDocument/2006/relationships/hyperlink" Target="http://www.mrspptk.gov.ba/" TargetMode="External"/><Relationship Id="rId7" Type="http://schemas.openxmlformats.org/officeDocument/2006/relationships/footnotes" Target="footnotes.xml"/><Relationship Id="rId12" Type="http://schemas.openxmlformats.org/officeDocument/2006/relationships/diagramQuickStyle" Target="diagrams/quickStyle1.xm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Layout" Target="diagrams/layout1.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2.png"/><Relationship Id="rId23" Type="http://schemas.openxmlformats.org/officeDocument/2006/relationships/fontTable" Target="fontTable.xml"/><Relationship Id="rId10" Type="http://schemas.openxmlformats.org/officeDocument/2006/relationships/diagramData" Target="diagrams/data1.xml"/><Relationship Id="rId19" Type="http://schemas.openxmlformats.org/officeDocument/2006/relationships/image" Target="media/image6.png"/><Relationship Id="rId4" Type="http://schemas.openxmlformats.org/officeDocument/2006/relationships/styles" Target="styles.xml"/><Relationship Id="rId9" Type="http://schemas.openxmlformats.org/officeDocument/2006/relationships/image" Target="media/image1.jpg"/><Relationship Id="rId14" Type="http://schemas.microsoft.com/office/2007/relationships/diagramDrawing" Target="diagrams/drawing1.xml"/><Relationship Id="rId22"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diagrams/colors1.xml><?xml version="1.0" encoding="utf-8"?>
<dgm:colorsDef xmlns:dgm="http://schemas.openxmlformats.org/drawingml/2006/diagram" xmlns:a="http://schemas.openxmlformats.org/drawingml/2006/main" uniqueId="urn:microsoft.com/office/officeart/2005/8/colors/accent5_2">
  <dgm:title val=""/>
  <dgm:desc val=""/>
  <dgm:catLst>
    <dgm:cat type="accent5" pri="11200"/>
  </dgm:catLst>
  <dgm:styleLbl name="node0">
    <dgm:fillClrLst meth="repeat">
      <a:schemeClr val="accent5"/>
    </dgm:fillClrLst>
    <dgm:linClrLst meth="repeat">
      <a:schemeClr val="lt1"/>
    </dgm:linClrLst>
    <dgm:effectClrLst/>
    <dgm:txLinClrLst/>
    <dgm:txFillClrLst/>
    <dgm:txEffectClrLst/>
  </dgm:styleLbl>
  <dgm:styleLbl name="node1">
    <dgm:fillClrLst meth="repeat">
      <a:schemeClr val="accent5"/>
    </dgm:fillClrLst>
    <dgm:linClrLst meth="repeat">
      <a:schemeClr val="lt1"/>
    </dgm:linClrLst>
    <dgm:effectClrLst/>
    <dgm:txLinClrLst/>
    <dgm:txFillClrLst/>
    <dgm:txEffectClrLst/>
  </dgm:styleLbl>
  <dgm:styleLbl name="alignNode1">
    <dgm:fillClrLst meth="repeat">
      <a:schemeClr val="accent5"/>
    </dgm:fillClrLst>
    <dgm:linClrLst meth="repeat">
      <a:schemeClr val="accent5"/>
    </dgm:linClrLst>
    <dgm:effectClrLst/>
    <dgm:txLinClrLst/>
    <dgm:txFillClrLst/>
    <dgm:txEffectClrLst/>
  </dgm:styleLbl>
  <dgm:styleLbl name="lnNode1">
    <dgm:fillClrLst meth="repeat">
      <a:schemeClr val="accent5"/>
    </dgm:fillClrLst>
    <dgm:linClrLst meth="repeat">
      <a:schemeClr val="lt1"/>
    </dgm:linClrLst>
    <dgm:effectClrLst/>
    <dgm:txLinClrLst/>
    <dgm:txFillClrLst/>
    <dgm:txEffectClrLst/>
  </dgm:styleLbl>
  <dgm:styleLbl name="vennNode1">
    <dgm:fillClrLst meth="repeat">
      <a:schemeClr val="accent5">
        <a:alpha val="50000"/>
      </a:schemeClr>
    </dgm:fillClrLst>
    <dgm:linClrLst meth="repeat">
      <a:schemeClr val="lt1"/>
    </dgm:linClrLst>
    <dgm:effectClrLst/>
    <dgm:txLinClrLst/>
    <dgm:txFillClrLst/>
    <dgm:txEffectClrLst/>
  </dgm:styleLbl>
  <dgm:styleLbl name="node2">
    <dgm:fillClrLst meth="repeat">
      <a:schemeClr val="accent5"/>
    </dgm:fillClrLst>
    <dgm:linClrLst meth="repeat">
      <a:schemeClr val="lt1"/>
    </dgm:linClrLst>
    <dgm:effectClrLst/>
    <dgm:txLinClrLst/>
    <dgm:txFillClrLst/>
    <dgm:txEffectClrLst/>
  </dgm:styleLbl>
  <dgm:styleLbl name="node3">
    <dgm:fillClrLst meth="repeat">
      <a:schemeClr val="accent5"/>
    </dgm:fillClrLst>
    <dgm:linClrLst meth="repeat">
      <a:schemeClr val="lt1"/>
    </dgm:linClrLst>
    <dgm:effectClrLst/>
    <dgm:txLinClrLst/>
    <dgm:txFillClrLst/>
    <dgm:txEffectClrLst/>
  </dgm:styleLbl>
  <dgm:styleLbl name="node4">
    <dgm:fillClrLst meth="repeat">
      <a:schemeClr val="accent5"/>
    </dgm:fillClrLst>
    <dgm:linClrLst meth="repeat">
      <a:schemeClr val="lt1"/>
    </dgm:linClrLst>
    <dgm:effectClrLst/>
    <dgm:txLinClrLst/>
    <dgm:txFillClrLst/>
    <dgm:txEffectClrLst/>
  </dgm:styleLbl>
  <dgm:styleLbl name="fg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5">
        <a:tint val="60000"/>
      </a:schemeClr>
    </dgm:fillClrLst>
    <dgm:linClrLst meth="repeat">
      <a:schemeClr val="accent5">
        <a:tint val="60000"/>
      </a:schemeClr>
    </dgm:linClrLst>
    <dgm:effectClrLst/>
    <dgm:txLinClrLst/>
    <dgm:txFillClrLst/>
    <dgm:txEffectClrLst/>
  </dgm:styleLbl>
  <dgm:styleLbl name="fgSibTrans2D1">
    <dgm:fillClrLst meth="repeat">
      <a:schemeClr val="accent5">
        <a:tint val="60000"/>
      </a:schemeClr>
    </dgm:fillClrLst>
    <dgm:linClrLst meth="repeat">
      <a:schemeClr val="accent5">
        <a:tint val="60000"/>
      </a:schemeClr>
    </dgm:linClrLst>
    <dgm:effectClrLst/>
    <dgm:txLinClrLst/>
    <dgm:txFillClrLst/>
    <dgm:txEffectClrLst/>
  </dgm:styleLbl>
  <dgm:styleLbl name="bgSibTrans2D1">
    <dgm:fillClrLst meth="repeat">
      <a:schemeClr val="accent5">
        <a:tint val="60000"/>
      </a:schemeClr>
    </dgm:fillClrLst>
    <dgm:linClrLst meth="repeat">
      <a:schemeClr val="accent5">
        <a:tint val="60000"/>
      </a:schemeClr>
    </dgm:linClrLst>
    <dgm:effectClrLst/>
    <dgm:txLinClrLst/>
    <dgm:txFillClrLst/>
    <dgm:txEffectClrLst/>
  </dgm:styleLbl>
  <dgm:styleLbl name="sibTrans1D1">
    <dgm:fillClrLst meth="repeat">
      <a:schemeClr val="accent5"/>
    </dgm:fillClrLst>
    <dgm:linClrLst meth="repeat">
      <a:schemeClr val="accent5"/>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dgm:linClrLst>
    <dgm:effectClrLst/>
    <dgm:txLinClrLst/>
    <dgm:txFillClrLst/>
    <dgm:txEffectClrLst/>
  </dgm:styleLbl>
  <dgm:styleLbl name="asst1">
    <dgm:fillClrLst meth="repeat">
      <a:schemeClr val="accent5"/>
    </dgm:fillClrLst>
    <dgm:linClrLst meth="repeat">
      <a:schemeClr val="lt1"/>
    </dgm:linClrLst>
    <dgm:effectClrLst/>
    <dgm:txLinClrLst/>
    <dgm:txFillClrLst/>
    <dgm:txEffectClrLst/>
  </dgm:styleLbl>
  <dgm:styleLbl name="asst2">
    <dgm:fillClrLst meth="repeat">
      <a:schemeClr val="accent5"/>
    </dgm:fillClrLst>
    <dgm:linClrLst meth="repeat">
      <a:schemeClr val="lt1"/>
    </dgm:linClrLst>
    <dgm:effectClrLst/>
    <dgm:txLinClrLst/>
    <dgm:txFillClrLst/>
    <dgm:txEffectClrLst/>
  </dgm:styleLbl>
  <dgm:styleLbl name="asst3">
    <dgm:fillClrLst meth="repeat">
      <a:schemeClr val="accent5"/>
    </dgm:fillClrLst>
    <dgm:linClrLst meth="repeat">
      <a:schemeClr val="lt1"/>
    </dgm:linClrLst>
    <dgm:effectClrLst/>
    <dgm:txLinClrLst/>
    <dgm:txFillClrLst/>
    <dgm:txEffectClrLst/>
  </dgm:styleLbl>
  <dgm:styleLbl name="asst4">
    <dgm:fillClrLst meth="repeat">
      <a:schemeClr val="accent5"/>
    </dgm:fillClrLst>
    <dgm:linClrLst meth="repeat">
      <a:schemeClr val="lt1"/>
    </dgm:linClrLst>
    <dgm:effectClrLst/>
    <dgm:txLinClrLst/>
    <dgm:txFillClrLst/>
    <dgm:txEffectClrLst/>
  </dgm:styleLbl>
  <dgm:styleLbl name="parChTrans2D1">
    <dgm:fillClrLst meth="repeat">
      <a:schemeClr val="accent5">
        <a:tint val="60000"/>
      </a:schemeClr>
    </dgm:fillClrLst>
    <dgm:linClrLst meth="repeat">
      <a:schemeClr val="accent5">
        <a:tint val="60000"/>
      </a:schemeClr>
    </dgm:linClrLst>
    <dgm:effectClrLst/>
    <dgm:txLinClrLst/>
    <dgm:txFillClrLst meth="repeat">
      <a:schemeClr val="lt1"/>
    </dgm:txFillClrLst>
    <dgm:txEffectClrLst/>
  </dgm:styleLbl>
  <dgm:styleLbl name="parChTrans2D2">
    <dgm:fillClrLst meth="repeat">
      <a:schemeClr val="accent5"/>
    </dgm:fillClrLst>
    <dgm:linClrLst meth="repeat">
      <a:schemeClr val="accent5"/>
    </dgm:linClrLst>
    <dgm:effectClrLst/>
    <dgm:txLinClrLst/>
    <dgm:txFillClrLst meth="repeat">
      <a:schemeClr val="lt1"/>
    </dgm:txFillClrLst>
    <dgm:txEffectClrLst/>
  </dgm:styleLbl>
  <dgm:styleLbl name="parChTrans2D3">
    <dgm:fillClrLst meth="repeat">
      <a:schemeClr val="accent5"/>
    </dgm:fillClrLst>
    <dgm:linClrLst meth="repeat">
      <a:schemeClr val="accent5"/>
    </dgm:linClrLst>
    <dgm:effectClrLst/>
    <dgm:txLinClrLst/>
    <dgm:txFillClrLst meth="repeat">
      <a:schemeClr val="lt1"/>
    </dgm:txFillClrLst>
    <dgm:txEffectClrLst/>
  </dgm:styleLbl>
  <dgm:styleLbl name="parChTrans2D4">
    <dgm:fillClrLst meth="repeat">
      <a:schemeClr val="accent5"/>
    </dgm:fillClrLst>
    <dgm:linClrLst meth="repeat">
      <a:schemeClr val="accent5"/>
    </dgm:linClrLst>
    <dgm:effectClrLst/>
    <dgm:txLinClrLst/>
    <dgm:txFillClrLst meth="repeat">
      <a:schemeClr val="lt1"/>
    </dgm:txFillClrLst>
    <dgm:txEffectClrLst/>
  </dgm:styleLbl>
  <dgm:styleLbl name="parChTrans1D1">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2">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3">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parChTrans1D4">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solidFgAcc1">
    <dgm:fillClrLst meth="repeat">
      <a:schemeClr val="lt1"/>
    </dgm:fillClrLst>
    <dgm:linClrLst meth="repeat">
      <a:schemeClr val="accent5"/>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align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bg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accent5"/>
    </dgm:linClrLst>
    <dgm:effectClrLst/>
    <dgm:txLinClrLst/>
    <dgm:txFillClrLst meth="repeat">
      <a:schemeClr val="dk1"/>
    </dgm:txFillClrLst>
    <dgm:txEffectClrLst/>
  </dgm:styleLbl>
  <dgm:styleLbl name="dkBgShp">
    <dgm:fillClrLst meth="repeat">
      <a:schemeClr val="accent5">
        <a:shade val="80000"/>
      </a:schemeClr>
    </dgm:fillClrLst>
    <dgm:linClrLst meth="repeat">
      <a:schemeClr val="accent5"/>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592D9B2-D44F-4562-B3F6-85BB097F55C2}" type="doc">
      <dgm:prSet loTypeId="urn:microsoft.com/office/officeart/2005/8/layout/lProcess2" loCatId="list" qsTypeId="urn:microsoft.com/office/officeart/2005/8/quickstyle/simple1" qsCatId="simple" csTypeId="urn:microsoft.com/office/officeart/2005/8/colors/accent5_2" csCatId="accent5" phldr="1"/>
      <dgm:spPr/>
      <dgm:t>
        <a:bodyPr/>
        <a:lstStyle/>
        <a:p>
          <a:endParaRPr lang="en-GB"/>
        </a:p>
      </dgm:t>
    </dgm:pt>
    <dgm:pt modelId="{BFC5A5B4-D0E0-4ECC-99AF-268E7C080115}">
      <dgm:prSet phldrT="[Text]" custT="1"/>
      <dgm:spPr>
        <a:xfrm>
          <a:off x="22906" y="0"/>
          <a:ext cx="1885621" cy="4472940"/>
        </a:xfrm>
      </dgm:spPr>
      <dgm:t>
        <a:bodyPr/>
        <a:lstStyle/>
        <a:p>
          <a:pPr algn="ctr">
            <a:buNone/>
          </a:pPr>
          <a:r>
            <a:rPr lang="bs-Latn-BA" sz="1200" b="1" u="none">
              <a:latin typeface="Cambria"/>
              <a:ea typeface="+mn-ea"/>
              <a:cs typeface="+mn-cs"/>
            </a:rPr>
            <a:t>Srednjeročni cilj 1.</a:t>
          </a:r>
        </a:p>
        <a:p>
          <a:pPr algn="ctr">
            <a:buNone/>
          </a:pPr>
          <a:r>
            <a:rPr lang="bs-Latn-BA" sz="1200" b="0" u="none">
              <a:latin typeface="Cambria"/>
              <a:ea typeface="+mn-ea"/>
              <a:cs typeface="+mn-cs"/>
            </a:rPr>
            <a:t>Ministarstva i službe djeluju za ravnopravnost spolova</a:t>
          </a:r>
          <a:endParaRPr lang="en-GB" sz="1200" b="0" u="none">
            <a:latin typeface="Cambria"/>
            <a:ea typeface="+mn-ea"/>
            <a:cs typeface="+mn-cs"/>
          </a:endParaRPr>
        </a:p>
      </dgm:t>
    </dgm:pt>
    <dgm:pt modelId="{C1CEA269-8B8E-4F7B-A4F4-BA18391E6C66}" type="parTrans" cxnId="{1E8496EE-203C-41FE-870D-23B3C3B432C8}">
      <dgm:prSet/>
      <dgm:spPr/>
      <dgm:t>
        <a:bodyPr/>
        <a:lstStyle/>
        <a:p>
          <a:pPr algn="ctr"/>
          <a:endParaRPr lang="en-GB" sz="1200"/>
        </a:p>
      </dgm:t>
    </dgm:pt>
    <dgm:pt modelId="{546429B6-16A9-4B84-A81D-2F5F44AB1BD6}" type="sibTrans" cxnId="{1E8496EE-203C-41FE-870D-23B3C3B432C8}">
      <dgm:prSet/>
      <dgm:spPr/>
      <dgm:t>
        <a:bodyPr/>
        <a:lstStyle/>
        <a:p>
          <a:pPr algn="ctr"/>
          <a:endParaRPr lang="en-GB" sz="1200"/>
        </a:p>
      </dgm:t>
    </dgm:pt>
    <dgm:pt modelId="{4D8A4AE3-5B9E-4D50-A2A0-EBEC2959D23B}">
      <dgm:prSet phldrT="[Text]" custT="1"/>
      <dgm:spPr>
        <a:xfrm>
          <a:off x="2027322" y="0"/>
          <a:ext cx="1674960" cy="4472940"/>
        </a:xfrm>
      </dgm:spPr>
      <dgm:t>
        <a:bodyPr/>
        <a:lstStyle/>
        <a:p>
          <a:pPr algn="ctr">
            <a:buFont typeface="Times New Roman" panose="02020603050405020304" pitchFamily="18" charset="0"/>
            <a:buNone/>
          </a:pPr>
          <a:r>
            <a:rPr lang="bs-Latn-BA" sz="1200" b="1" u="none">
              <a:latin typeface="Cambria"/>
              <a:ea typeface="+mn-ea"/>
              <a:cs typeface="+mn-cs"/>
            </a:rPr>
            <a:t>Srednjeročni cilj 2.</a:t>
          </a:r>
          <a:r>
            <a:rPr lang="bs-Latn-BA" sz="1200" b="0" u="none">
              <a:latin typeface="Cambria"/>
              <a:ea typeface="+mn-ea"/>
              <a:cs typeface="+mn-cs"/>
            </a:rPr>
            <a:t> </a:t>
          </a:r>
        </a:p>
        <a:p>
          <a:pPr algn="ctr">
            <a:buFont typeface="Times New Roman" panose="02020603050405020304" pitchFamily="18" charset="0"/>
            <a:buNone/>
          </a:pPr>
          <a:r>
            <a:rPr lang="bs-Latn-BA" sz="1200" b="0" u="none">
              <a:latin typeface="Cambria"/>
              <a:ea typeface="+mn-ea"/>
              <a:cs typeface="+mn-cs"/>
            </a:rPr>
            <a:t>Unapređeno je stanje ravnopravnosti spolova na području</a:t>
          </a:r>
          <a:endParaRPr lang="en-GB" sz="1200" b="0" u="none">
            <a:latin typeface="Cambria"/>
            <a:ea typeface="+mn-ea"/>
            <a:cs typeface="+mn-cs"/>
          </a:endParaRPr>
        </a:p>
      </dgm:t>
    </dgm:pt>
    <dgm:pt modelId="{ED927EE5-1F16-4664-B987-03324CE1DE73}" type="sibTrans" cxnId="{86586A69-C2FE-4527-B806-E52F0FFF2033}">
      <dgm:prSet/>
      <dgm:spPr/>
      <dgm:t>
        <a:bodyPr/>
        <a:lstStyle/>
        <a:p>
          <a:pPr algn="ctr"/>
          <a:endParaRPr lang="en-GB" sz="1200"/>
        </a:p>
      </dgm:t>
    </dgm:pt>
    <dgm:pt modelId="{7D66E326-DAA3-41D5-A1C5-BA95E23446C0}" type="parTrans" cxnId="{86586A69-C2FE-4527-B806-E52F0FFF2033}">
      <dgm:prSet/>
      <dgm:spPr/>
      <dgm:t>
        <a:bodyPr/>
        <a:lstStyle/>
        <a:p>
          <a:pPr algn="ctr"/>
          <a:endParaRPr lang="en-GB" sz="1200"/>
        </a:p>
      </dgm:t>
    </dgm:pt>
    <dgm:pt modelId="{3DBD36B3-895B-4945-995F-347340854CA7}">
      <dgm:prSet custT="1"/>
      <dgm:spPr>
        <a:xfrm>
          <a:off x="2110553" y="1342728"/>
          <a:ext cx="1508497" cy="517456"/>
        </a:xfrm>
      </dgm:spPr>
      <dgm:t>
        <a:bodyPr/>
        <a:lstStyle/>
        <a:p>
          <a:pPr algn="ctr">
            <a:buNone/>
          </a:pPr>
          <a:r>
            <a:rPr lang="en-GB" sz="800" b="0" u="none">
              <a:ln/>
              <a:latin typeface="Cambria"/>
              <a:ea typeface="+mn-ea"/>
              <a:cs typeface="+mn-cs"/>
            </a:rPr>
            <a:t>2.1. Obrazovni sektor doprinosi ravnopravnosti spolova</a:t>
          </a:r>
        </a:p>
      </dgm:t>
    </dgm:pt>
    <dgm:pt modelId="{D03A9EC0-62BC-4884-923A-1C45567F53F4}" type="sibTrans" cxnId="{9085C025-E678-4646-BB35-1408A583077D}">
      <dgm:prSet/>
      <dgm:spPr/>
      <dgm:t>
        <a:bodyPr/>
        <a:lstStyle/>
        <a:p>
          <a:pPr algn="ctr"/>
          <a:endParaRPr lang="en-GB" sz="1200"/>
        </a:p>
      </dgm:t>
    </dgm:pt>
    <dgm:pt modelId="{23C6C05B-73DA-4050-BA90-C5F722A99B80}" type="parTrans" cxnId="{9085C025-E678-4646-BB35-1408A583077D}">
      <dgm:prSet/>
      <dgm:spPr/>
      <dgm:t>
        <a:bodyPr/>
        <a:lstStyle/>
        <a:p>
          <a:pPr algn="ctr"/>
          <a:endParaRPr lang="en-GB" sz="1200"/>
        </a:p>
      </dgm:t>
    </dgm:pt>
    <dgm:pt modelId="{AE24C239-1508-4755-819F-5E87AEBD125C}">
      <dgm:prSet custT="1"/>
      <dgm:spPr>
        <a:xfrm>
          <a:off x="3843704" y="0"/>
          <a:ext cx="1885621" cy="4472940"/>
        </a:xfrm>
      </dgm:spPr>
      <dgm:t>
        <a:bodyPr/>
        <a:lstStyle/>
        <a:p>
          <a:pPr algn="ctr">
            <a:buFont typeface="Times New Roman" panose="02020603050405020304" pitchFamily="18" charset="0"/>
            <a:buNone/>
          </a:pPr>
          <a:endParaRPr lang="bs-Latn-BA" sz="900" b="1" u="none">
            <a:latin typeface="Cambria"/>
            <a:ea typeface="+mn-ea"/>
            <a:cs typeface="+mn-cs"/>
          </a:endParaRPr>
        </a:p>
        <a:p>
          <a:pPr algn="ctr">
            <a:buFont typeface="Times New Roman" panose="02020603050405020304" pitchFamily="18" charset="0"/>
            <a:buNone/>
          </a:pPr>
          <a:r>
            <a:rPr lang="bs-Latn-BA" sz="1200" b="1" u="none">
              <a:latin typeface="Cambria"/>
              <a:ea typeface="+mn-ea"/>
              <a:cs typeface="+mn-cs"/>
            </a:rPr>
            <a:t>Srednjeročni cilj 3.</a:t>
          </a:r>
        </a:p>
        <a:p>
          <a:pPr algn="ctr">
            <a:buFont typeface="Times New Roman" panose="02020603050405020304" pitchFamily="18" charset="0"/>
            <a:buNone/>
          </a:pPr>
          <a:r>
            <a:rPr lang="bs-Latn-BA" sz="1200" b="0" u="none">
              <a:latin typeface="Cambria"/>
              <a:ea typeface="+mn-ea"/>
              <a:cs typeface="+mn-cs"/>
            </a:rPr>
            <a:t>Prati se stanje i sarađuje sa drugim akterima na unapređenju stanja ravnopravnosti spolova</a:t>
          </a:r>
          <a:endParaRPr lang="en-GB" sz="1200" b="0" u="none">
            <a:latin typeface="Cambria"/>
            <a:ea typeface="+mn-ea"/>
            <a:cs typeface="+mn-cs"/>
          </a:endParaRPr>
        </a:p>
      </dgm:t>
    </dgm:pt>
    <dgm:pt modelId="{4F752E05-CB6A-4506-8A06-09912BD739E9}" type="sibTrans" cxnId="{DA64625C-C6E3-4242-8261-2C433CB9AABF}">
      <dgm:prSet/>
      <dgm:spPr/>
      <dgm:t>
        <a:bodyPr/>
        <a:lstStyle/>
        <a:p>
          <a:endParaRPr lang="en-GB"/>
        </a:p>
      </dgm:t>
    </dgm:pt>
    <dgm:pt modelId="{0B3BECE6-21FA-4789-BE69-C90ACF0A98A8}" type="parTrans" cxnId="{DA64625C-C6E3-4242-8261-2C433CB9AABF}">
      <dgm:prSet/>
      <dgm:spPr/>
      <dgm:t>
        <a:bodyPr/>
        <a:lstStyle/>
        <a:p>
          <a:endParaRPr lang="en-GB"/>
        </a:p>
      </dgm:t>
    </dgm:pt>
    <dgm:pt modelId="{D7C1734D-898B-4F62-9B56-8AC4654F72B8}">
      <dgm:prSet custT="1"/>
      <dgm:spPr>
        <a:xfrm>
          <a:off x="4032266" y="1342264"/>
          <a:ext cx="1508497" cy="878753"/>
        </a:xfrm>
      </dgm:spPr>
      <dgm:t>
        <a:bodyPr/>
        <a:lstStyle/>
        <a:p>
          <a:pPr algn="ctr">
            <a:buFont typeface="Times New Roman" panose="02020603050405020304" pitchFamily="18" charset="0"/>
            <a:buNone/>
          </a:pPr>
          <a:r>
            <a:rPr lang="en-GB" sz="800" b="0" u="none">
              <a:ln/>
              <a:latin typeface="Cambria"/>
              <a:ea typeface="+mn-ea"/>
              <a:cs typeface="+mn-cs"/>
            </a:rPr>
            <a:t>3.1. Kanton doprinosi promociji ravnopravnost spolova</a:t>
          </a:r>
        </a:p>
      </dgm:t>
    </dgm:pt>
    <dgm:pt modelId="{38DC338E-5C6A-41B7-8DAE-627D2412ACD9}" type="parTrans" cxnId="{F0F11A73-819C-4091-AA0E-CFE1FFC8B6F8}">
      <dgm:prSet/>
      <dgm:spPr/>
      <dgm:t>
        <a:bodyPr/>
        <a:lstStyle/>
        <a:p>
          <a:endParaRPr lang="en-GB"/>
        </a:p>
      </dgm:t>
    </dgm:pt>
    <dgm:pt modelId="{29578650-2402-4715-8F29-C1B1DE6255C2}" type="sibTrans" cxnId="{F0F11A73-819C-4091-AA0E-CFE1FFC8B6F8}">
      <dgm:prSet/>
      <dgm:spPr/>
      <dgm:t>
        <a:bodyPr/>
        <a:lstStyle/>
        <a:p>
          <a:endParaRPr lang="en-GB"/>
        </a:p>
      </dgm:t>
    </dgm:pt>
    <dgm:pt modelId="{8E8BA751-534B-4AEB-9F9E-E0ED97666103}">
      <dgm:prSet phldrT="[Text]" custT="1"/>
      <dgm:spPr>
        <a:xfrm>
          <a:off x="188840" y="1342728"/>
          <a:ext cx="1508497" cy="517456"/>
        </a:xfrm>
      </dgm:spPr>
      <dgm:t>
        <a:bodyPr/>
        <a:lstStyle/>
        <a:p>
          <a:pPr algn="ctr">
            <a:buNone/>
          </a:pPr>
          <a:r>
            <a:rPr lang="en-GB" sz="800" b="0" u="none">
              <a:ln/>
              <a:latin typeface="Cambria"/>
              <a:ea typeface="+mn-ea"/>
              <a:cs typeface="+mn-cs"/>
            </a:rPr>
            <a:t>1.1. Uspostavljeno kantonalno koordinacijsko tijelo za praćenje Gender akcionog plana</a:t>
          </a:r>
          <a:endParaRPr lang="bs-Latn-BA" sz="800" b="0" u="none">
            <a:ln/>
            <a:latin typeface="Cambria"/>
            <a:ea typeface="+mn-ea"/>
            <a:cs typeface="+mn-cs"/>
          </a:endParaRPr>
        </a:p>
      </dgm:t>
    </dgm:pt>
    <dgm:pt modelId="{C640F6B3-2FAD-44CC-B98F-206771F9A934}" type="parTrans" cxnId="{D846B265-16C2-4332-B7EC-585B99054946}">
      <dgm:prSet/>
      <dgm:spPr/>
      <dgm:t>
        <a:bodyPr/>
        <a:lstStyle/>
        <a:p>
          <a:endParaRPr lang="en-GB"/>
        </a:p>
      </dgm:t>
    </dgm:pt>
    <dgm:pt modelId="{04DBB4D2-AB79-4725-BDC5-CFF25F866B69}" type="sibTrans" cxnId="{D846B265-16C2-4332-B7EC-585B99054946}">
      <dgm:prSet/>
      <dgm:spPr/>
      <dgm:t>
        <a:bodyPr/>
        <a:lstStyle/>
        <a:p>
          <a:endParaRPr lang="en-GB"/>
        </a:p>
      </dgm:t>
    </dgm:pt>
    <dgm:pt modelId="{8AFF3F67-ECD1-44A3-886F-793B64212692}">
      <dgm:prSet custT="1"/>
      <dgm:spPr>
        <a:xfrm>
          <a:off x="4032266" y="2356210"/>
          <a:ext cx="1508497" cy="878753"/>
        </a:xfrm>
      </dgm:spPr>
      <dgm:t>
        <a:bodyPr/>
        <a:lstStyle/>
        <a:p>
          <a:pPr>
            <a:buNone/>
          </a:pPr>
          <a:r>
            <a:rPr lang="en-GB" sz="800" b="0" u="none">
              <a:ln/>
              <a:latin typeface="Cambria"/>
              <a:ea typeface="+mn-ea"/>
              <a:cs typeface="+mn-cs"/>
            </a:rPr>
            <a:t>3.2. Redovno se prati stanje ravnopravnosti spolova na području</a:t>
          </a:r>
        </a:p>
      </dgm:t>
    </dgm:pt>
    <dgm:pt modelId="{F6BEE6D4-A300-4109-A9D7-3C7CFF775CBB}" type="parTrans" cxnId="{6D23537C-B4BD-4FF5-A2CC-C97235B3C35F}">
      <dgm:prSet/>
      <dgm:spPr/>
      <dgm:t>
        <a:bodyPr/>
        <a:lstStyle/>
        <a:p>
          <a:endParaRPr lang="en-GB"/>
        </a:p>
      </dgm:t>
    </dgm:pt>
    <dgm:pt modelId="{71BCBD98-F085-4966-B5D0-9AEBE88CEF3D}" type="sibTrans" cxnId="{6D23537C-B4BD-4FF5-A2CC-C97235B3C35F}">
      <dgm:prSet/>
      <dgm:spPr/>
      <dgm:t>
        <a:bodyPr/>
        <a:lstStyle/>
        <a:p>
          <a:endParaRPr lang="en-GB"/>
        </a:p>
      </dgm:t>
    </dgm:pt>
    <dgm:pt modelId="{C24D6F58-2CC8-4FE3-A59E-63944EC32571}">
      <dgm:prSet custT="1"/>
      <dgm:spPr>
        <a:xfrm>
          <a:off x="4032266" y="3370157"/>
          <a:ext cx="1508497" cy="878753"/>
        </a:xfrm>
      </dgm:spPr>
      <dgm:t>
        <a:bodyPr/>
        <a:lstStyle/>
        <a:p>
          <a:pPr>
            <a:buNone/>
          </a:pPr>
          <a:r>
            <a:rPr lang="en-GB" sz="800" b="0" u="none">
              <a:ln/>
              <a:latin typeface="Cambria"/>
              <a:ea typeface="+mn-ea"/>
              <a:cs typeface="+mn-cs"/>
            </a:rPr>
            <a:t>3.3. Civilno društvo učestvuje u definiranju prioriteta za djelovanje u oblasti ravnopravnosti spolova</a:t>
          </a:r>
        </a:p>
      </dgm:t>
    </dgm:pt>
    <dgm:pt modelId="{AB532D39-D17A-4DCF-94D7-155268EBD95B}" type="parTrans" cxnId="{805E7922-B28C-4137-B30F-209273A35F09}">
      <dgm:prSet/>
      <dgm:spPr/>
      <dgm:t>
        <a:bodyPr/>
        <a:lstStyle/>
        <a:p>
          <a:endParaRPr lang="en-GB"/>
        </a:p>
      </dgm:t>
    </dgm:pt>
    <dgm:pt modelId="{E1CFD291-55DC-4D90-ADF0-B50F0F3CAD33}" type="sibTrans" cxnId="{805E7922-B28C-4137-B30F-209273A35F09}">
      <dgm:prSet/>
      <dgm:spPr/>
      <dgm:t>
        <a:bodyPr/>
        <a:lstStyle/>
        <a:p>
          <a:endParaRPr lang="en-GB"/>
        </a:p>
      </dgm:t>
    </dgm:pt>
    <dgm:pt modelId="{B3E86F40-CD15-420F-A26C-2F7E1CA06E99}">
      <dgm:prSet custT="1"/>
      <dgm:spPr>
        <a:xfrm>
          <a:off x="188840" y="1939793"/>
          <a:ext cx="1508497" cy="517456"/>
        </a:xfrm>
      </dgm:spPr>
      <dgm:t>
        <a:bodyPr/>
        <a:lstStyle/>
        <a:p>
          <a:pPr>
            <a:buNone/>
          </a:pPr>
          <a:r>
            <a:rPr lang="en-GB" sz="800" b="0" u="none">
              <a:ln/>
              <a:latin typeface="Cambria"/>
              <a:ea typeface="+mn-ea"/>
              <a:cs typeface="+mn-cs"/>
            </a:rPr>
            <a:t>1.2. Kapaciteti koordinacionog odbora unaprijeđeni</a:t>
          </a:r>
        </a:p>
      </dgm:t>
    </dgm:pt>
    <dgm:pt modelId="{DED3416C-1F18-45A7-ABB8-10D05D56C993}" type="parTrans" cxnId="{D92EADAF-6D65-420A-AD71-1CA9C55BDBB3}">
      <dgm:prSet/>
      <dgm:spPr/>
      <dgm:t>
        <a:bodyPr/>
        <a:lstStyle/>
        <a:p>
          <a:endParaRPr lang="en-GB"/>
        </a:p>
      </dgm:t>
    </dgm:pt>
    <dgm:pt modelId="{66390D37-1F65-4B19-B83B-C0A56F6D2D4D}" type="sibTrans" cxnId="{D92EADAF-6D65-420A-AD71-1CA9C55BDBB3}">
      <dgm:prSet/>
      <dgm:spPr/>
      <dgm:t>
        <a:bodyPr/>
        <a:lstStyle/>
        <a:p>
          <a:endParaRPr lang="en-GB"/>
        </a:p>
      </dgm:t>
    </dgm:pt>
    <dgm:pt modelId="{1FD09D2E-2A74-4CD8-8429-414EE7BF54B9}">
      <dgm:prSet custT="1"/>
      <dgm:spPr>
        <a:xfrm>
          <a:off x="188840" y="2536859"/>
          <a:ext cx="1508497" cy="517456"/>
        </a:xfrm>
      </dgm:spPr>
      <dgm:t>
        <a:bodyPr/>
        <a:lstStyle/>
        <a:p>
          <a:pPr>
            <a:buNone/>
          </a:pPr>
          <a:r>
            <a:rPr lang="en-GB" sz="800" b="0" u="none">
              <a:ln/>
              <a:latin typeface="Cambria"/>
              <a:ea typeface="+mn-ea"/>
              <a:cs typeface="+mn-cs"/>
            </a:rPr>
            <a:t>1.3. Uspostavljeni instrumenti za redovnu procjenu uticaja propisa na ravnopravnost spolova</a:t>
          </a:r>
        </a:p>
      </dgm:t>
    </dgm:pt>
    <dgm:pt modelId="{030A6A70-0533-4328-AD04-C2E004A32CC0}" type="parTrans" cxnId="{8A67BA74-2DC4-47AA-86CA-0F0BCEFA63CE}">
      <dgm:prSet/>
      <dgm:spPr/>
      <dgm:t>
        <a:bodyPr/>
        <a:lstStyle/>
        <a:p>
          <a:endParaRPr lang="en-GB"/>
        </a:p>
      </dgm:t>
    </dgm:pt>
    <dgm:pt modelId="{22261017-F9CA-455E-94F9-BF39C9DEED39}" type="sibTrans" cxnId="{8A67BA74-2DC4-47AA-86CA-0F0BCEFA63CE}">
      <dgm:prSet/>
      <dgm:spPr/>
      <dgm:t>
        <a:bodyPr/>
        <a:lstStyle/>
        <a:p>
          <a:endParaRPr lang="en-GB"/>
        </a:p>
      </dgm:t>
    </dgm:pt>
    <dgm:pt modelId="{834896FD-658C-4F57-8953-0DCAA55ABA70}">
      <dgm:prSet custT="1"/>
      <dgm:spPr>
        <a:xfrm>
          <a:off x="188840" y="3133924"/>
          <a:ext cx="1508497" cy="517456"/>
        </a:xfrm>
      </dgm:spPr>
      <dgm:t>
        <a:bodyPr/>
        <a:lstStyle/>
        <a:p>
          <a:pPr>
            <a:buNone/>
          </a:pPr>
          <a:r>
            <a:rPr lang="en-GB" sz="800" b="0" u="none">
              <a:ln/>
              <a:latin typeface="Cambria"/>
              <a:ea typeface="+mn-ea"/>
              <a:cs typeface="+mn-cs"/>
            </a:rPr>
            <a:t>1.4. Provedene sektorske analize mogućnosti za unapređenje stanja ravnopravnosti spolova u prioritetnim oblastima</a:t>
          </a:r>
        </a:p>
      </dgm:t>
    </dgm:pt>
    <dgm:pt modelId="{EBD667CB-E7B3-421A-AD89-F2C591673D74}" type="parTrans" cxnId="{21549C01-613F-4DF7-9B30-F8292D9F8500}">
      <dgm:prSet/>
      <dgm:spPr/>
      <dgm:t>
        <a:bodyPr/>
        <a:lstStyle/>
        <a:p>
          <a:endParaRPr lang="en-GB"/>
        </a:p>
      </dgm:t>
    </dgm:pt>
    <dgm:pt modelId="{A59FBF97-57D9-4ED2-BCC2-08FE5440BC69}" type="sibTrans" cxnId="{21549C01-613F-4DF7-9B30-F8292D9F8500}">
      <dgm:prSet/>
      <dgm:spPr/>
      <dgm:t>
        <a:bodyPr/>
        <a:lstStyle/>
        <a:p>
          <a:endParaRPr lang="en-GB"/>
        </a:p>
      </dgm:t>
    </dgm:pt>
    <dgm:pt modelId="{7324F91D-2FE5-46D5-8548-240178176D6B}">
      <dgm:prSet custT="1"/>
      <dgm:spPr>
        <a:xfrm>
          <a:off x="188840" y="3730989"/>
          <a:ext cx="1508497" cy="517456"/>
        </a:xfrm>
      </dgm:spPr>
      <dgm:t>
        <a:bodyPr/>
        <a:lstStyle/>
        <a:p>
          <a:pPr>
            <a:buNone/>
          </a:pPr>
          <a:r>
            <a:rPr lang="en-GB" sz="800" b="0" u="none">
              <a:ln/>
              <a:latin typeface="Cambria"/>
              <a:ea typeface="+mn-ea"/>
              <a:cs typeface="+mn-cs"/>
            </a:rPr>
            <a:t>1.</a:t>
          </a:r>
          <a:r>
            <a:rPr lang="bs-Latn-BA" sz="800" b="0" u="none">
              <a:ln/>
              <a:latin typeface="Cambria"/>
              <a:ea typeface="+mn-ea"/>
              <a:cs typeface="+mn-cs"/>
            </a:rPr>
            <a:t>5</a:t>
          </a:r>
          <a:r>
            <a:rPr lang="en-GB" sz="800" b="0" u="none">
              <a:ln/>
              <a:latin typeface="Cambria"/>
              <a:ea typeface="+mn-ea"/>
              <a:cs typeface="+mn-cs"/>
            </a:rPr>
            <a:t>. Budžet sadrži procjenu uticaja na ravnopravnost spolova (rodno-odgovorno budžetiranje)</a:t>
          </a:r>
        </a:p>
      </dgm:t>
    </dgm:pt>
    <dgm:pt modelId="{B297E42D-386E-4A96-92A0-46965A0FD369}" type="parTrans" cxnId="{4F93FDDD-4512-4735-95DF-F051A118C884}">
      <dgm:prSet/>
      <dgm:spPr/>
      <dgm:t>
        <a:bodyPr/>
        <a:lstStyle/>
        <a:p>
          <a:endParaRPr lang="en-GB"/>
        </a:p>
      </dgm:t>
    </dgm:pt>
    <dgm:pt modelId="{72665912-FE75-4851-9170-5AF1B5E42D0F}" type="sibTrans" cxnId="{4F93FDDD-4512-4735-95DF-F051A118C884}">
      <dgm:prSet/>
      <dgm:spPr/>
      <dgm:t>
        <a:bodyPr/>
        <a:lstStyle/>
        <a:p>
          <a:endParaRPr lang="en-GB"/>
        </a:p>
      </dgm:t>
    </dgm:pt>
    <dgm:pt modelId="{0D403033-9A52-4066-B954-ABB25CA8122D}">
      <dgm:prSet custT="1"/>
      <dgm:spPr>
        <a:xfrm>
          <a:off x="2110553" y="1939793"/>
          <a:ext cx="1508497" cy="517456"/>
        </a:xfrm>
      </dgm:spPr>
      <dgm:t>
        <a:bodyPr/>
        <a:lstStyle/>
        <a:p>
          <a:pPr>
            <a:buNone/>
          </a:pPr>
          <a:r>
            <a:rPr lang="en-GB" sz="800" b="0" u="none">
              <a:ln/>
              <a:latin typeface="Cambria"/>
              <a:ea typeface="+mn-ea"/>
              <a:cs typeface="+mn-cs"/>
            </a:rPr>
            <a:t>2.2. Smanjen jaz između žena i muškaraca na tržištu rada</a:t>
          </a:r>
        </a:p>
      </dgm:t>
    </dgm:pt>
    <dgm:pt modelId="{F04EE9FB-5BBA-4D9E-BD96-7D1978B6BB6C}" type="parTrans" cxnId="{464930EC-C79B-45B4-8AA2-C69AEA489782}">
      <dgm:prSet/>
      <dgm:spPr/>
      <dgm:t>
        <a:bodyPr/>
        <a:lstStyle/>
        <a:p>
          <a:endParaRPr lang="en-GB"/>
        </a:p>
      </dgm:t>
    </dgm:pt>
    <dgm:pt modelId="{0AEA35D2-2CCC-4DE5-9C7B-6D1C8841F730}" type="sibTrans" cxnId="{464930EC-C79B-45B4-8AA2-C69AEA489782}">
      <dgm:prSet/>
      <dgm:spPr/>
      <dgm:t>
        <a:bodyPr/>
        <a:lstStyle/>
        <a:p>
          <a:endParaRPr lang="en-GB"/>
        </a:p>
      </dgm:t>
    </dgm:pt>
    <dgm:pt modelId="{59BB90BB-7A91-44D8-8F1B-20C8FEA4F184}">
      <dgm:prSet custT="1"/>
      <dgm:spPr>
        <a:xfrm>
          <a:off x="2110553" y="2536859"/>
          <a:ext cx="1508497" cy="517456"/>
        </a:xfrm>
      </dgm:spPr>
      <dgm:t>
        <a:bodyPr/>
        <a:lstStyle/>
        <a:p>
          <a:pPr>
            <a:buNone/>
          </a:pPr>
          <a:r>
            <a:rPr lang="en-GB" sz="800" b="0" u="none">
              <a:ln/>
              <a:latin typeface="Cambria"/>
              <a:ea typeface="+mn-ea"/>
              <a:cs typeface="+mn-cs"/>
            </a:rPr>
            <a:t>2.</a:t>
          </a:r>
          <a:r>
            <a:rPr lang="bs-Latn-BA" sz="800" b="0" u="none">
              <a:ln/>
              <a:latin typeface="Cambria"/>
              <a:ea typeface="+mn-ea"/>
              <a:cs typeface="+mn-cs"/>
            </a:rPr>
            <a:t>3</a:t>
          </a:r>
          <a:r>
            <a:rPr lang="en-GB" sz="800" b="0" u="none">
              <a:ln/>
              <a:latin typeface="Cambria"/>
              <a:ea typeface="+mn-ea"/>
              <a:cs typeface="+mn-cs"/>
            </a:rPr>
            <a:t>. Prevencija i zaštita od nasilja u porodici i nasilja na </a:t>
          </a:r>
          <a:r>
            <a:rPr lang="bs-Latn-BA" sz="800" b="0" u="none">
              <a:ln/>
              <a:latin typeface="Cambria"/>
              <a:ea typeface="+mn-ea"/>
              <a:cs typeface="+mn-cs"/>
            </a:rPr>
            <a:t>osnovu spola</a:t>
          </a:r>
          <a:endParaRPr lang="en-GB" sz="800" b="0" u="none">
            <a:ln/>
            <a:latin typeface="Cambria"/>
            <a:ea typeface="+mn-ea"/>
            <a:cs typeface="+mn-cs"/>
          </a:endParaRPr>
        </a:p>
      </dgm:t>
    </dgm:pt>
    <dgm:pt modelId="{73181A04-D028-4586-9D35-601FF2E0115C}" type="parTrans" cxnId="{A3E5CACF-6D70-4199-85D5-9B405C247555}">
      <dgm:prSet/>
      <dgm:spPr/>
      <dgm:t>
        <a:bodyPr/>
        <a:lstStyle/>
        <a:p>
          <a:endParaRPr lang="en-GB"/>
        </a:p>
      </dgm:t>
    </dgm:pt>
    <dgm:pt modelId="{CC534DB0-85AC-4216-8D01-9381B99FA27D}" type="sibTrans" cxnId="{A3E5CACF-6D70-4199-85D5-9B405C247555}">
      <dgm:prSet/>
      <dgm:spPr/>
      <dgm:t>
        <a:bodyPr/>
        <a:lstStyle/>
        <a:p>
          <a:endParaRPr lang="en-GB"/>
        </a:p>
      </dgm:t>
    </dgm:pt>
    <dgm:pt modelId="{D2B067F4-28AD-4FC1-A7BC-B73BCE1FB58D}">
      <dgm:prSet custT="1"/>
      <dgm:spPr>
        <a:xfrm>
          <a:off x="2110553" y="3133924"/>
          <a:ext cx="1508497" cy="517456"/>
        </a:xfrm>
      </dgm:spPr>
      <dgm:t>
        <a:bodyPr/>
        <a:lstStyle/>
        <a:p>
          <a:pPr>
            <a:buNone/>
          </a:pPr>
          <a:r>
            <a:rPr lang="en-GB" sz="800" b="0" u="none">
              <a:ln/>
              <a:latin typeface="Cambria"/>
              <a:ea typeface="+mn-ea"/>
              <a:cs typeface="+mn-cs"/>
            </a:rPr>
            <a:t>2.</a:t>
          </a:r>
          <a:r>
            <a:rPr lang="bs-Latn-BA" sz="800" b="0" u="none">
              <a:ln/>
              <a:latin typeface="Cambria"/>
              <a:ea typeface="+mn-ea"/>
              <a:cs typeface="+mn-cs"/>
            </a:rPr>
            <a:t>4</a:t>
          </a:r>
          <a:r>
            <a:rPr lang="en-GB" sz="800" b="0" u="none">
              <a:ln/>
              <a:latin typeface="Cambria"/>
              <a:ea typeface="+mn-ea"/>
              <a:cs typeface="+mn-cs"/>
            </a:rPr>
            <a:t>. Osigurana ravnopravna zastupljenost osoba muškog i ženskog spola u tijelima nad kojima Kanton vrši nadzor</a:t>
          </a:r>
        </a:p>
      </dgm:t>
    </dgm:pt>
    <dgm:pt modelId="{EC1BB703-7EFC-42C7-A99F-B1162E68B89A}" type="parTrans" cxnId="{66B164E7-2BC7-4D1B-9D77-8BE8501F6011}">
      <dgm:prSet/>
      <dgm:spPr/>
      <dgm:t>
        <a:bodyPr/>
        <a:lstStyle/>
        <a:p>
          <a:endParaRPr lang="en-GB"/>
        </a:p>
      </dgm:t>
    </dgm:pt>
    <dgm:pt modelId="{C0D88EB0-3C6F-4021-A8A1-F0EB13C6B72F}" type="sibTrans" cxnId="{66B164E7-2BC7-4D1B-9D77-8BE8501F6011}">
      <dgm:prSet/>
      <dgm:spPr/>
      <dgm:t>
        <a:bodyPr/>
        <a:lstStyle/>
        <a:p>
          <a:endParaRPr lang="en-GB"/>
        </a:p>
      </dgm:t>
    </dgm:pt>
    <dgm:pt modelId="{775D0B3C-97B1-4247-A620-34384AA3AFED}">
      <dgm:prSet custT="1"/>
      <dgm:spPr>
        <a:xfrm>
          <a:off x="2110553" y="3730989"/>
          <a:ext cx="1508497" cy="517456"/>
        </a:xfrm>
      </dgm:spPr>
      <dgm:t>
        <a:bodyPr/>
        <a:lstStyle/>
        <a:p>
          <a:pPr>
            <a:buNone/>
          </a:pPr>
          <a:r>
            <a:rPr lang="bs-Latn-BA" sz="800" b="0" u="none">
              <a:ln/>
              <a:latin typeface="Cambria"/>
              <a:ea typeface="+mn-ea"/>
              <a:cs typeface="+mn-cs"/>
            </a:rPr>
            <a:t>2.5. Unaprijeđeno zdravlje i seksualno i reproduktivno zdravlje</a:t>
          </a:r>
          <a:endParaRPr lang="en-GB" sz="800" b="0" u="none">
            <a:ln/>
            <a:latin typeface="Cambria"/>
            <a:ea typeface="+mn-ea"/>
            <a:cs typeface="+mn-cs"/>
          </a:endParaRPr>
        </a:p>
      </dgm:t>
    </dgm:pt>
    <dgm:pt modelId="{9A180D2E-DEEF-49C8-8973-2094E4F186DA}" type="parTrans" cxnId="{1518C54C-1C5F-4CAB-82BC-CE04C068DB4B}">
      <dgm:prSet/>
      <dgm:spPr/>
      <dgm:t>
        <a:bodyPr/>
        <a:lstStyle/>
        <a:p>
          <a:endParaRPr lang="en-GB"/>
        </a:p>
      </dgm:t>
    </dgm:pt>
    <dgm:pt modelId="{DEE20D9E-F03B-4BF0-8E9B-03338C202422}" type="sibTrans" cxnId="{1518C54C-1C5F-4CAB-82BC-CE04C068DB4B}">
      <dgm:prSet/>
      <dgm:spPr/>
      <dgm:t>
        <a:bodyPr/>
        <a:lstStyle/>
        <a:p>
          <a:endParaRPr lang="en-GB"/>
        </a:p>
      </dgm:t>
    </dgm:pt>
    <dgm:pt modelId="{BFD9EC66-7E1E-4820-8143-4C8C648D0EDB}" type="pres">
      <dgm:prSet presAssocID="{B592D9B2-D44F-4562-B3F6-85BB097F55C2}" presName="theList" presStyleCnt="0">
        <dgm:presLayoutVars>
          <dgm:dir/>
          <dgm:animLvl val="lvl"/>
          <dgm:resizeHandles val="exact"/>
        </dgm:presLayoutVars>
      </dgm:prSet>
      <dgm:spPr/>
      <dgm:t>
        <a:bodyPr/>
        <a:lstStyle/>
        <a:p>
          <a:endParaRPr lang="bs-Latn-BA"/>
        </a:p>
      </dgm:t>
    </dgm:pt>
    <dgm:pt modelId="{70040366-AC5E-4F84-8C3F-4BEEC2FF5248}" type="pres">
      <dgm:prSet presAssocID="{BFC5A5B4-D0E0-4ECC-99AF-268E7C080115}" presName="compNode" presStyleCnt="0"/>
      <dgm:spPr/>
    </dgm:pt>
    <dgm:pt modelId="{E3CF6BE0-7E62-4AA4-A92C-A5129AA56180}" type="pres">
      <dgm:prSet presAssocID="{BFC5A5B4-D0E0-4ECC-99AF-268E7C080115}" presName="aNode" presStyleLbl="bgShp" presStyleIdx="0" presStyleCnt="3" custLinFactNeighborX="1200" custLinFactNeighborY="177"/>
      <dgm:spPr>
        <a:prstGeom prst="roundRect">
          <a:avLst>
            <a:gd name="adj" fmla="val 10000"/>
          </a:avLst>
        </a:prstGeom>
      </dgm:spPr>
      <dgm:t>
        <a:bodyPr/>
        <a:lstStyle/>
        <a:p>
          <a:endParaRPr lang="bs-Latn-BA"/>
        </a:p>
      </dgm:t>
    </dgm:pt>
    <dgm:pt modelId="{F5BEC532-5C5C-4ACC-85F9-FB8F45D740E7}" type="pres">
      <dgm:prSet presAssocID="{BFC5A5B4-D0E0-4ECC-99AF-268E7C080115}" presName="textNode" presStyleLbl="bgShp" presStyleIdx="0" presStyleCnt="3"/>
      <dgm:spPr/>
      <dgm:t>
        <a:bodyPr/>
        <a:lstStyle/>
        <a:p>
          <a:endParaRPr lang="bs-Latn-BA"/>
        </a:p>
      </dgm:t>
    </dgm:pt>
    <dgm:pt modelId="{F048DCBF-3A4A-4DD7-84FE-45DF2C77013E}" type="pres">
      <dgm:prSet presAssocID="{BFC5A5B4-D0E0-4ECC-99AF-268E7C080115}" presName="compChildNode" presStyleCnt="0"/>
      <dgm:spPr/>
    </dgm:pt>
    <dgm:pt modelId="{AB68AA8A-5BE2-4ED6-AB57-60499023DFB5}" type="pres">
      <dgm:prSet presAssocID="{BFC5A5B4-D0E0-4ECC-99AF-268E7C080115}" presName="theInnerList" presStyleCnt="0"/>
      <dgm:spPr/>
    </dgm:pt>
    <dgm:pt modelId="{08CCF5B8-34D9-4067-BE91-438C3BE2CE7E}" type="pres">
      <dgm:prSet presAssocID="{8E8BA751-534B-4AEB-9F9E-E0ED97666103}" presName="childNode" presStyleLbl="node1" presStyleIdx="0" presStyleCnt="13">
        <dgm:presLayoutVars>
          <dgm:bulletEnabled val="1"/>
        </dgm:presLayoutVars>
      </dgm:prSet>
      <dgm:spPr>
        <a:prstGeom prst="roundRect">
          <a:avLst>
            <a:gd name="adj" fmla="val 10000"/>
          </a:avLst>
        </a:prstGeom>
      </dgm:spPr>
      <dgm:t>
        <a:bodyPr/>
        <a:lstStyle/>
        <a:p>
          <a:endParaRPr lang="bs-Latn-BA"/>
        </a:p>
      </dgm:t>
    </dgm:pt>
    <dgm:pt modelId="{BEA089B4-BBCF-425D-A2AD-D185FDA66424}" type="pres">
      <dgm:prSet presAssocID="{8E8BA751-534B-4AEB-9F9E-E0ED97666103}" presName="aSpace2" presStyleCnt="0"/>
      <dgm:spPr/>
    </dgm:pt>
    <dgm:pt modelId="{B01F5F53-8BEA-4E74-8C87-6E14B320FA8D}" type="pres">
      <dgm:prSet presAssocID="{B3E86F40-CD15-420F-A26C-2F7E1CA06E99}" presName="childNode" presStyleLbl="node1" presStyleIdx="1" presStyleCnt="13">
        <dgm:presLayoutVars>
          <dgm:bulletEnabled val="1"/>
        </dgm:presLayoutVars>
      </dgm:prSet>
      <dgm:spPr>
        <a:prstGeom prst="roundRect">
          <a:avLst>
            <a:gd name="adj" fmla="val 10000"/>
          </a:avLst>
        </a:prstGeom>
      </dgm:spPr>
      <dgm:t>
        <a:bodyPr/>
        <a:lstStyle/>
        <a:p>
          <a:endParaRPr lang="bs-Latn-BA"/>
        </a:p>
      </dgm:t>
    </dgm:pt>
    <dgm:pt modelId="{DFBB0A4C-A5D5-45D8-B406-82BC30D9D760}" type="pres">
      <dgm:prSet presAssocID="{B3E86F40-CD15-420F-A26C-2F7E1CA06E99}" presName="aSpace2" presStyleCnt="0"/>
      <dgm:spPr/>
    </dgm:pt>
    <dgm:pt modelId="{8C526EE3-A95F-4955-913A-0BB8C79019AC}" type="pres">
      <dgm:prSet presAssocID="{1FD09D2E-2A74-4CD8-8429-414EE7BF54B9}" presName="childNode" presStyleLbl="node1" presStyleIdx="2" presStyleCnt="13">
        <dgm:presLayoutVars>
          <dgm:bulletEnabled val="1"/>
        </dgm:presLayoutVars>
      </dgm:prSet>
      <dgm:spPr>
        <a:prstGeom prst="roundRect">
          <a:avLst>
            <a:gd name="adj" fmla="val 10000"/>
          </a:avLst>
        </a:prstGeom>
      </dgm:spPr>
      <dgm:t>
        <a:bodyPr/>
        <a:lstStyle/>
        <a:p>
          <a:endParaRPr lang="bs-Latn-BA"/>
        </a:p>
      </dgm:t>
    </dgm:pt>
    <dgm:pt modelId="{B2655502-CB48-448A-89E9-D93DD907E256}" type="pres">
      <dgm:prSet presAssocID="{1FD09D2E-2A74-4CD8-8429-414EE7BF54B9}" presName="aSpace2" presStyleCnt="0"/>
      <dgm:spPr/>
    </dgm:pt>
    <dgm:pt modelId="{395E55E1-2B86-44DF-B961-42A21CF89CB6}" type="pres">
      <dgm:prSet presAssocID="{834896FD-658C-4F57-8953-0DCAA55ABA70}" presName="childNode" presStyleLbl="node1" presStyleIdx="3" presStyleCnt="13">
        <dgm:presLayoutVars>
          <dgm:bulletEnabled val="1"/>
        </dgm:presLayoutVars>
      </dgm:prSet>
      <dgm:spPr>
        <a:prstGeom prst="roundRect">
          <a:avLst>
            <a:gd name="adj" fmla="val 10000"/>
          </a:avLst>
        </a:prstGeom>
      </dgm:spPr>
      <dgm:t>
        <a:bodyPr/>
        <a:lstStyle/>
        <a:p>
          <a:endParaRPr lang="bs-Latn-BA"/>
        </a:p>
      </dgm:t>
    </dgm:pt>
    <dgm:pt modelId="{76644ACF-B294-44AF-91F2-B6096C5254C6}" type="pres">
      <dgm:prSet presAssocID="{834896FD-658C-4F57-8953-0DCAA55ABA70}" presName="aSpace2" presStyleCnt="0"/>
      <dgm:spPr/>
    </dgm:pt>
    <dgm:pt modelId="{1B046E3D-810F-4186-90D8-C13895CA63FC}" type="pres">
      <dgm:prSet presAssocID="{7324F91D-2FE5-46D5-8548-240178176D6B}" presName="childNode" presStyleLbl="node1" presStyleIdx="4" presStyleCnt="13">
        <dgm:presLayoutVars>
          <dgm:bulletEnabled val="1"/>
        </dgm:presLayoutVars>
      </dgm:prSet>
      <dgm:spPr>
        <a:prstGeom prst="roundRect">
          <a:avLst>
            <a:gd name="adj" fmla="val 10000"/>
          </a:avLst>
        </a:prstGeom>
      </dgm:spPr>
      <dgm:t>
        <a:bodyPr/>
        <a:lstStyle/>
        <a:p>
          <a:endParaRPr lang="bs-Latn-BA"/>
        </a:p>
      </dgm:t>
    </dgm:pt>
    <dgm:pt modelId="{0DE0D5D9-73AC-470F-BFED-3ABFB519124E}" type="pres">
      <dgm:prSet presAssocID="{BFC5A5B4-D0E0-4ECC-99AF-268E7C080115}" presName="aSpace" presStyleCnt="0"/>
      <dgm:spPr/>
    </dgm:pt>
    <dgm:pt modelId="{E46C7F0D-39CC-48E0-88ED-A29E6D987DC9}" type="pres">
      <dgm:prSet presAssocID="{4D8A4AE3-5B9E-4D50-A2A0-EBEC2959D23B}" presName="compNode" presStyleCnt="0"/>
      <dgm:spPr/>
    </dgm:pt>
    <dgm:pt modelId="{D773D787-7E45-4E1C-9F10-92001C1852F8}" type="pres">
      <dgm:prSet presAssocID="{4D8A4AE3-5B9E-4D50-A2A0-EBEC2959D23B}" presName="aNode" presStyleLbl="bgShp" presStyleIdx="1" presStyleCnt="3" custScaleX="88828"/>
      <dgm:spPr>
        <a:prstGeom prst="roundRect">
          <a:avLst>
            <a:gd name="adj" fmla="val 10000"/>
          </a:avLst>
        </a:prstGeom>
      </dgm:spPr>
      <dgm:t>
        <a:bodyPr/>
        <a:lstStyle/>
        <a:p>
          <a:endParaRPr lang="bs-Latn-BA"/>
        </a:p>
      </dgm:t>
    </dgm:pt>
    <dgm:pt modelId="{9CD1D938-E3A8-4C34-997A-5BAA90D06599}" type="pres">
      <dgm:prSet presAssocID="{4D8A4AE3-5B9E-4D50-A2A0-EBEC2959D23B}" presName="textNode" presStyleLbl="bgShp" presStyleIdx="1" presStyleCnt="3"/>
      <dgm:spPr/>
      <dgm:t>
        <a:bodyPr/>
        <a:lstStyle/>
        <a:p>
          <a:endParaRPr lang="bs-Latn-BA"/>
        </a:p>
      </dgm:t>
    </dgm:pt>
    <dgm:pt modelId="{2DB609B6-AAD7-40E7-9CF6-64E40A1A3248}" type="pres">
      <dgm:prSet presAssocID="{4D8A4AE3-5B9E-4D50-A2A0-EBEC2959D23B}" presName="compChildNode" presStyleCnt="0"/>
      <dgm:spPr/>
    </dgm:pt>
    <dgm:pt modelId="{20391FCE-AB44-4C53-9055-A995D39890DC}" type="pres">
      <dgm:prSet presAssocID="{4D8A4AE3-5B9E-4D50-A2A0-EBEC2959D23B}" presName="theInnerList" presStyleCnt="0"/>
      <dgm:spPr/>
    </dgm:pt>
    <dgm:pt modelId="{669205AC-36E5-4245-B13C-579C1992446A}" type="pres">
      <dgm:prSet presAssocID="{3DBD36B3-895B-4945-995F-347340854CA7}" presName="childNode" presStyleLbl="node1" presStyleIdx="5" presStyleCnt="13">
        <dgm:presLayoutVars>
          <dgm:bulletEnabled val="1"/>
        </dgm:presLayoutVars>
      </dgm:prSet>
      <dgm:spPr>
        <a:prstGeom prst="roundRect">
          <a:avLst>
            <a:gd name="adj" fmla="val 10000"/>
          </a:avLst>
        </a:prstGeom>
      </dgm:spPr>
      <dgm:t>
        <a:bodyPr/>
        <a:lstStyle/>
        <a:p>
          <a:endParaRPr lang="bs-Latn-BA"/>
        </a:p>
      </dgm:t>
    </dgm:pt>
    <dgm:pt modelId="{548DC518-5A30-41AC-9F7C-023CBE67C314}" type="pres">
      <dgm:prSet presAssocID="{3DBD36B3-895B-4945-995F-347340854CA7}" presName="aSpace2" presStyleCnt="0"/>
      <dgm:spPr/>
    </dgm:pt>
    <dgm:pt modelId="{305A4F42-96AB-4DD6-AEAF-5D992822631D}" type="pres">
      <dgm:prSet presAssocID="{0D403033-9A52-4066-B954-ABB25CA8122D}" presName="childNode" presStyleLbl="node1" presStyleIdx="6" presStyleCnt="13">
        <dgm:presLayoutVars>
          <dgm:bulletEnabled val="1"/>
        </dgm:presLayoutVars>
      </dgm:prSet>
      <dgm:spPr>
        <a:prstGeom prst="roundRect">
          <a:avLst>
            <a:gd name="adj" fmla="val 10000"/>
          </a:avLst>
        </a:prstGeom>
      </dgm:spPr>
      <dgm:t>
        <a:bodyPr/>
        <a:lstStyle/>
        <a:p>
          <a:endParaRPr lang="bs-Latn-BA"/>
        </a:p>
      </dgm:t>
    </dgm:pt>
    <dgm:pt modelId="{A8623FCC-871B-4614-A5F1-3A0C94510B60}" type="pres">
      <dgm:prSet presAssocID="{0D403033-9A52-4066-B954-ABB25CA8122D}" presName="aSpace2" presStyleCnt="0"/>
      <dgm:spPr/>
    </dgm:pt>
    <dgm:pt modelId="{ECBE8675-1CA0-453B-A8BB-AF50C4FA67B4}" type="pres">
      <dgm:prSet presAssocID="{59BB90BB-7A91-44D8-8F1B-20C8FEA4F184}" presName="childNode" presStyleLbl="node1" presStyleIdx="7" presStyleCnt="13">
        <dgm:presLayoutVars>
          <dgm:bulletEnabled val="1"/>
        </dgm:presLayoutVars>
      </dgm:prSet>
      <dgm:spPr>
        <a:prstGeom prst="roundRect">
          <a:avLst>
            <a:gd name="adj" fmla="val 10000"/>
          </a:avLst>
        </a:prstGeom>
      </dgm:spPr>
      <dgm:t>
        <a:bodyPr/>
        <a:lstStyle/>
        <a:p>
          <a:endParaRPr lang="bs-Latn-BA"/>
        </a:p>
      </dgm:t>
    </dgm:pt>
    <dgm:pt modelId="{84C21C44-17FA-4AEC-8BF2-7C188A59C84F}" type="pres">
      <dgm:prSet presAssocID="{59BB90BB-7A91-44D8-8F1B-20C8FEA4F184}" presName="aSpace2" presStyleCnt="0"/>
      <dgm:spPr/>
    </dgm:pt>
    <dgm:pt modelId="{92E0D6B9-2D63-4827-98C6-12123F3FA6E5}" type="pres">
      <dgm:prSet presAssocID="{D2B067F4-28AD-4FC1-A7BC-B73BCE1FB58D}" presName="childNode" presStyleLbl="node1" presStyleIdx="8" presStyleCnt="13">
        <dgm:presLayoutVars>
          <dgm:bulletEnabled val="1"/>
        </dgm:presLayoutVars>
      </dgm:prSet>
      <dgm:spPr>
        <a:prstGeom prst="roundRect">
          <a:avLst>
            <a:gd name="adj" fmla="val 10000"/>
          </a:avLst>
        </a:prstGeom>
      </dgm:spPr>
      <dgm:t>
        <a:bodyPr/>
        <a:lstStyle/>
        <a:p>
          <a:endParaRPr lang="bs-Latn-BA"/>
        </a:p>
      </dgm:t>
    </dgm:pt>
    <dgm:pt modelId="{761C95BC-F9EC-4068-B2BE-F8C195CAC56B}" type="pres">
      <dgm:prSet presAssocID="{D2B067F4-28AD-4FC1-A7BC-B73BCE1FB58D}" presName="aSpace2" presStyleCnt="0"/>
      <dgm:spPr/>
    </dgm:pt>
    <dgm:pt modelId="{797E4662-144D-471E-B289-609F1209C52F}" type="pres">
      <dgm:prSet presAssocID="{775D0B3C-97B1-4247-A620-34384AA3AFED}" presName="childNode" presStyleLbl="node1" presStyleIdx="9" presStyleCnt="13">
        <dgm:presLayoutVars>
          <dgm:bulletEnabled val="1"/>
        </dgm:presLayoutVars>
      </dgm:prSet>
      <dgm:spPr>
        <a:prstGeom prst="roundRect">
          <a:avLst>
            <a:gd name="adj" fmla="val 10000"/>
          </a:avLst>
        </a:prstGeom>
      </dgm:spPr>
      <dgm:t>
        <a:bodyPr/>
        <a:lstStyle/>
        <a:p>
          <a:endParaRPr lang="bs-Latn-BA"/>
        </a:p>
      </dgm:t>
    </dgm:pt>
    <dgm:pt modelId="{99F1325C-97D8-4C3E-A1E7-94F3611CD364}" type="pres">
      <dgm:prSet presAssocID="{4D8A4AE3-5B9E-4D50-A2A0-EBEC2959D23B}" presName="aSpace" presStyleCnt="0"/>
      <dgm:spPr/>
    </dgm:pt>
    <dgm:pt modelId="{25D4D6FE-8E6E-48D9-9BD8-22E383337B62}" type="pres">
      <dgm:prSet presAssocID="{AE24C239-1508-4755-819F-5E87AEBD125C}" presName="compNode" presStyleCnt="0"/>
      <dgm:spPr/>
    </dgm:pt>
    <dgm:pt modelId="{B8D19E46-DDAD-457F-B901-635613BDBDE7}" type="pres">
      <dgm:prSet presAssocID="{AE24C239-1508-4755-819F-5E87AEBD125C}" presName="aNode" presStyleLbl="bgShp" presStyleIdx="2" presStyleCnt="3"/>
      <dgm:spPr>
        <a:prstGeom prst="roundRect">
          <a:avLst>
            <a:gd name="adj" fmla="val 10000"/>
          </a:avLst>
        </a:prstGeom>
      </dgm:spPr>
      <dgm:t>
        <a:bodyPr/>
        <a:lstStyle/>
        <a:p>
          <a:endParaRPr lang="bs-Latn-BA"/>
        </a:p>
      </dgm:t>
    </dgm:pt>
    <dgm:pt modelId="{989A6AC2-34F0-47CC-A7A7-C76DA802E46E}" type="pres">
      <dgm:prSet presAssocID="{AE24C239-1508-4755-819F-5E87AEBD125C}" presName="textNode" presStyleLbl="bgShp" presStyleIdx="2" presStyleCnt="3"/>
      <dgm:spPr/>
      <dgm:t>
        <a:bodyPr/>
        <a:lstStyle/>
        <a:p>
          <a:endParaRPr lang="bs-Latn-BA"/>
        </a:p>
      </dgm:t>
    </dgm:pt>
    <dgm:pt modelId="{EA2FCDB2-B582-4ED0-9C0A-CDBA6489A2DA}" type="pres">
      <dgm:prSet presAssocID="{AE24C239-1508-4755-819F-5E87AEBD125C}" presName="compChildNode" presStyleCnt="0"/>
      <dgm:spPr/>
    </dgm:pt>
    <dgm:pt modelId="{B320C3C0-6613-419B-8005-A3A1B947C99F}" type="pres">
      <dgm:prSet presAssocID="{AE24C239-1508-4755-819F-5E87AEBD125C}" presName="theInnerList" presStyleCnt="0"/>
      <dgm:spPr/>
    </dgm:pt>
    <dgm:pt modelId="{C01DE590-6A8A-4527-B96E-6497372523A9}" type="pres">
      <dgm:prSet presAssocID="{D7C1734D-898B-4F62-9B56-8AC4654F72B8}" presName="childNode" presStyleLbl="node1" presStyleIdx="10" presStyleCnt="13">
        <dgm:presLayoutVars>
          <dgm:bulletEnabled val="1"/>
        </dgm:presLayoutVars>
      </dgm:prSet>
      <dgm:spPr>
        <a:prstGeom prst="roundRect">
          <a:avLst>
            <a:gd name="adj" fmla="val 10000"/>
          </a:avLst>
        </a:prstGeom>
      </dgm:spPr>
      <dgm:t>
        <a:bodyPr/>
        <a:lstStyle/>
        <a:p>
          <a:endParaRPr lang="bs-Latn-BA"/>
        </a:p>
      </dgm:t>
    </dgm:pt>
    <dgm:pt modelId="{7BCCECE1-331F-4737-880C-C285A7841458}" type="pres">
      <dgm:prSet presAssocID="{D7C1734D-898B-4F62-9B56-8AC4654F72B8}" presName="aSpace2" presStyleCnt="0"/>
      <dgm:spPr/>
    </dgm:pt>
    <dgm:pt modelId="{08B45FD9-1755-4A74-B46B-19EE017DF072}" type="pres">
      <dgm:prSet presAssocID="{8AFF3F67-ECD1-44A3-886F-793B64212692}" presName="childNode" presStyleLbl="node1" presStyleIdx="11" presStyleCnt="13">
        <dgm:presLayoutVars>
          <dgm:bulletEnabled val="1"/>
        </dgm:presLayoutVars>
      </dgm:prSet>
      <dgm:spPr>
        <a:prstGeom prst="roundRect">
          <a:avLst>
            <a:gd name="adj" fmla="val 10000"/>
          </a:avLst>
        </a:prstGeom>
      </dgm:spPr>
      <dgm:t>
        <a:bodyPr/>
        <a:lstStyle/>
        <a:p>
          <a:endParaRPr lang="bs-Latn-BA"/>
        </a:p>
      </dgm:t>
    </dgm:pt>
    <dgm:pt modelId="{87337FD3-5070-46F5-AF09-55B4F998DBC6}" type="pres">
      <dgm:prSet presAssocID="{8AFF3F67-ECD1-44A3-886F-793B64212692}" presName="aSpace2" presStyleCnt="0"/>
      <dgm:spPr/>
    </dgm:pt>
    <dgm:pt modelId="{85BABF7C-9F66-48CA-919E-614DC241976D}" type="pres">
      <dgm:prSet presAssocID="{C24D6F58-2CC8-4FE3-A59E-63944EC32571}" presName="childNode" presStyleLbl="node1" presStyleIdx="12" presStyleCnt="13">
        <dgm:presLayoutVars>
          <dgm:bulletEnabled val="1"/>
        </dgm:presLayoutVars>
      </dgm:prSet>
      <dgm:spPr>
        <a:prstGeom prst="roundRect">
          <a:avLst>
            <a:gd name="adj" fmla="val 10000"/>
          </a:avLst>
        </a:prstGeom>
      </dgm:spPr>
      <dgm:t>
        <a:bodyPr/>
        <a:lstStyle/>
        <a:p>
          <a:endParaRPr lang="bs-Latn-BA"/>
        </a:p>
      </dgm:t>
    </dgm:pt>
  </dgm:ptLst>
  <dgm:cxnLst>
    <dgm:cxn modelId="{051B5FAE-AF86-4FE5-AB52-6789BFC23FA9}" type="presOf" srcId="{D7C1734D-898B-4F62-9B56-8AC4654F72B8}" destId="{C01DE590-6A8A-4527-B96E-6497372523A9}" srcOrd="0" destOrd="0" presId="urn:microsoft.com/office/officeart/2005/8/layout/lProcess2"/>
    <dgm:cxn modelId="{F0F11A73-819C-4091-AA0E-CFE1FFC8B6F8}" srcId="{AE24C239-1508-4755-819F-5E87AEBD125C}" destId="{D7C1734D-898B-4F62-9B56-8AC4654F72B8}" srcOrd="0" destOrd="0" parTransId="{38DC338E-5C6A-41B7-8DAE-627D2412ACD9}" sibTransId="{29578650-2402-4715-8F29-C1B1DE6255C2}"/>
    <dgm:cxn modelId="{A73EAE6B-5B7A-443C-B1AA-5FC6BBABEF93}" type="presOf" srcId="{AE24C239-1508-4755-819F-5E87AEBD125C}" destId="{B8D19E46-DDAD-457F-B901-635613BDBDE7}" srcOrd="0" destOrd="0" presId="urn:microsoft.com/office/officeart/2005/8/layout/lProcess2"/>
    <dgm:cxn modelId="{805E7922-B28C-4137-B30F-209273A35F09}" srcId="{AE24C239-1508-4755-819F-5E87AEBD125C}" destId="{C24D6F58-2CC8-4FE3-A59E-63944EC32571}" srcOrd="2" destOrd="0" parTransId="{AB532D39-D17A-4DCF-94D7-155268EBD95B}" sibTransId="{E1CFD291-55DC-4D90-ADF0-B50F0F3CAD33}"/>
    <dgm:cxn modelId="{D92EADAF-6D65-420A-AD71-1CA9C55BDBB3}" srcId="{BFC5A5B4-D0E0-4ECC-99AF-268E7C080115}" destId="{B3E86F40-CD15-420F-A26C-2F7E1CA06E99}" srcOrd="1" destOrd="0" parTransId="{DED3416C-1F18-45A7-ABB8-10D05D56C993}" sibTransId="{66390D37-1F65-4B19-B83B-C0A56F6D2D4D}"/>
    <dgm:cxn modelId="{9663FA83-9CE0-44D0-AC4A-D6E996945277}" type="presOf" srcId="{834896FD-658C-4F57-8953-0DCAA55ABA70}" destId="{395E55E1-2B86-44DF-B961-42A21CF89CB6}" srcOrd="0" destOrd="0" presId="urn:microsoft.com/office/officeart/2005/8/layout/lProcess2"/>
    <dgm:cxn modelId="{415A88F9-EA04-4827-8401-A874A152BC40}" type="presOf" srcId="{B3E86F40-CD15-420F-A26C-2F7E1CA06E99}" destId="{B01F5F53-8BEA-4E74-8C87-6E14B320FA8D}" srcOrd="0" destOrd="0" presId="urn:microsoft.com/office/officeart/2005/8/layout/lProcess2"/>
    <dgm:cxn modelId="{55E13F7F-E351-401D-A924-45316E304A8C}" type="presOf" srcId="{C24D6F58-2CC8-4FE3-A59E-63944EC32571}" destId="{85BABF7C-9F66-48CA-919E-614DC241976D}" srcOrd="0" destOrd="0" presId="urn:microsoft.com/office/officeart/2005/8/layout/lProcess2"/>
    <dgm:cxn modelId="{FC0971CA-D41C-4BB9-A083-758EDFB87542}" type="presOf" srcId="{4D8A4AE3-5B9E-4D50-A2A0-EBEC2959D23B}" destId="{D773D787-7E45-4E1C-9F10-92001C1852F8}" srcOrd="0" destOrd="0" presId="urn:microsoft.com/office/officeart/2005/8/layout/lProcess2"/>
    <dgm:cxn modelId="{E1731543-2872-425A-8261-7FD83FFEA1F3}" type="presOf" srcId="{BFC5A5B4-D0E0-4ECC-99AF-268E7C080115}" destId="{F5BEC532-5C5C-4ACC-85F9-FB8F45D740E7}" srcOrd="1" destOrd="0" presId="urn:microsoft.com/office/officeart/2005/8/layout/lProcess2"/>
    <dgm:cxn modelId="{72784F09-8A91-4DB1-B476-EF22CFB945F6}" type="presOf" srcId="{D2B067F4-28AD-4FC1-A7BC-B73BCE1FB58D}" destId="{92E0D6B9-2D63-4827-98C6-12123F3FA6E5}" srcOrd="0" destOrd="0" presId="urn:microsoft.com/office/officeart/2005/8/layout/lProcess2"/>
    <dgm:cxn modelId="{3097CB34-9B46-4F08-8BD3-A96FA7BC93D8}" type="presOf" srcId="{4D8A4AE3-5B9E-4D50-A2A0-EBEC2959D23B}" destId="{9CD1D938-E3A8-4C34-997A-5BAA90D06599}" srcOrd="1" destOrd="0" presId="urn:microsoft.com/office/officeart/2005/8/layout/lProcess2"/>
    <dgm:cxn modelId="{4F93FDDD-4512-4735-95DF-F051A118C884}" srcId="{BFC5A5B4-D0E0-4ECC-99AF-268E7C080115}" destId="{7324F91D-2FE5-46D5-8548-240178176D6B}" srcOrd="4" destOrd="0" parTransId="{B297E42D-386E-4A96-92A0-46965A0FD369}" sibTransId="{72665912-FE75-4851-9170-5AF1B5E42D0F}"/>
    <dgm:cxn modelId="{464930EC-C79B-45B4-8AA2-C69AEA489782}" srcId="{4D8A4AE3-5B9E-4D50-A2A0-EBEC2959D23B}" destId="{0D403033-9A52-4066-B954-ABB25CA8122D}" srcOrd="1" destOrd="0" parTransId="{F04EE9FB-5BBA-4D9E-BD96-7D1978B6BB6C}" sibTransId="{0AEA35D2-2CCC-4DE5-9C7B-6D1C8841F730}"/>
    <dgm:cxn modelId="{1518C54C-1C5F-4CAB-82BC-CE04C068DB4B}" srcId="{4D8A4AE3-5B9E-4D50-A2A0-EBEC2959D23B}" destId="{775D0B3C-97B1-4247-A620-34384AA3AFED}" srcOrd="4" destOrd="0" parTransId="{9A180D2E-DEEF-49C8-8973-2094E4F186DA}" sibTransId="{DEE20D9E-F03B-4BF0-8E9B-03338C202422}"/>
    <dgm:cxn modelId="{557543F0-5EA1-41A3-A223-3C11BCD9B709}" type="presOf" srcId="{59BB90BB-7A91-44D8-8F1B-20C8FEA4F184}" destId="{ECBE8675-1CA0-453B-A8BB-AF50C4FA67B4}" srcOrd="0" destOrd="0" presId="urn:microsoft.com/office/officeart/2005/8/layout/lProcess2"/>
    <dgm:cxn modelId="{66B164E7-2BC7-4D1B-9D77-8BE8501F6011}" srcId="{4D8A4AE3-5B9E-4D50-A2A0-EBEC2959D23B}" destId="{D2B067F4-28AD-4FC1-A7BC-B73BCE1FB58D}" srcOrd="3" destOrd="0" parTransId="{EC1BB703-7EFC-42C7-A99F-B1162E68B89A}" sibTransId="{C0D88EB0-3C6F-4021-A8A1-F0EB13C6B72F}"/>
    <dgm:cxn modelId="{65CF23A9-0F69-462A-8D1A-256B42D75041}" type="presOf" srcId="{3DBD36B3-895B-4945-995F-347340854CA7}" destId="{669205AC-36E5-4245-B13C-579C1992446A}" srcOrd="0" destOrd="0" presId="urn:microsoft.com/office/officeart/2005/8/layout/lProcess2"/>
    <dgm:cxn modelId="{86586A69-C2FE-4527-B806-E52F0FFF2033}" srcId="{B592D9B2-D44F-4562-B3F6-85BB097F55C2}" destId="{4D8A4AE3-5B9E-4D50-A2A0-EBEC2959D23B}" srcOrd="1" destOrd="0" parTransId="{7D66E326-DAA3-41D5-A1C5-BA95E23446C0}" sibTransId="{ED927EE5-1F16-4664-B987-03324CE1DE73}"/>
    <dgm:cxn modelId="{E39942C9-32D9-4B53-A952-56BBE9CC5EB9}" type="presOf" srcId="{1FD09D2E-2A74-4CD8-8429-414EE7BF54B9}" destId="{8C526EE3-A95F-4955-913A-0BB8C79019AC}" srcOrd="0" destOrd="0" presId="urn:microsoft.com/office/officeart/2005/8/layout/lProcess2"/>
    <dgm:cxn modelId="{A3E5CACF-6D70-4199-85D5-9B405C247555}" srcId="{4D8A4AE3-5B9E-4D50-A2A0-EBEC2959D23B}" destId="{59BB90BB-7A91-44D8-8F1B-20C8FEA4F184}" srcOrd="2" destOrd="0" parTransId="{73181A04-D028-4586-9D35-601FF2E0115C}" sibTransId="{CC534DB0-85AC-4216-8D01-9381B99FA27D}"/>
    <dgm:cxn modelId="{9085C025-E678-4646-BB35-1408A583077D}" srcId="{4D8A4AE3-5B9E-4D50-A2A0-EBEC2959D23B}" destId="{3DBD36B3-895B-4945-995F-347340854CA7}" srcOrd="0" destOrd="0" parTransId="{23C6C05B-73DA-4050-BA90-C5F722A99B80}" sibTransId="{D03A9EC0-62BC-4884-923A-1C45567F53F4}"/>
    <dgm:cxn modelId="{6D23537C-B4BD-4FF5-A2CC-C97235B3C35F}" srcId="{AE24C239-1508-4755-819F-5E87AEBD125C}" destId="{8AFF3F67-ECD1-44A3-886F-793B64212692}" srcOrd="1" destOrd="0" parTransId="{F6BEE6D4-A300-4109-A9D7-3C7CFF775CBB}" sibTransId="{71BCBD98-F085-4966-B5D0-9AEBE88CEF3D}"/>
    <dgm:cxn modelId="{DA64625C-C6E3-4242-8261-2C433CB9AABF}" srcId="{B592D9B2-D44F-4562-B3F6-85BB097F55C2}" destId="{AE24C239-1508-4755-819F-5E87AEBD125C}" srcOrd="2" destOrd="0" parTransId="{0B3BECE6-21FA-4789-BE69-C90ACF0A98A8}" sibTransId="{4F752E05-CB6A-4506-8A06-09912BD739E9}"/>
    <dgm:cxn modelId="{1E8496EE-203C-41FE-870D-23B3C3B432C8}" srcId="{B592D9B2-D44F-4562-B3F6-85BB097F55C2}" destId="{BFC5A5B4-D0E0-4ECC-99AF-268E7C080115}" srcOrd="0" destOrd="0" parTransId="{C1CEA269-8B8E-4F7B-A4F4-BA18391E6C66}" sibTransId="{546429B6-16A9-4B84-A81D-2F5F44AB1BD6}"/>
    <dgm:cxn modelId="{CC9FF4B1-9BC3-40B9-9E6F-31186CBB673C}" type="presOf" srcId="{B592D9B2-D44F-4562-B3F6-85BB097F55C2}" destId="{BFD9EC66-7E1E-4820-8143-4C8C648D0EDB}" srcOrd="0" destOrd="0" presId="urn:microsoft.com/office/officeart/2005/8/layout/lProcess2"/>
    <dgm:cxn modelId="{21549C01-613F-4DF7-9B30-F8292D9F8500}" srcId="{BFC5A5B4-D0E0-4ECC-99AF-268E7C080115}" destId="{834896FD-658C-4F57-8953-0DCAA55ABA70}" srcOrd="3" destOrd="0" parTransId="{EBD667CB-E7B3-421A-AD89-F2C591673D74}" sibTransId="{A59FBF97-57D9-4ED2-BCC2-08FE5440BC69}"/>
    <dgm:cxn modelId="{D846B265-16C2-4332-B7EC-585B99054946}" srcId="{BFC5A5B4-D0E0-4ECC-99AF-268E7C080115}" destId="{8E8BA751-534B-4AEB-9F9E-E0ED97666103}" srcOrd="0" destOrd="0" parTransId="{C640F6B3-2FAD-44CC-B98F-206771F9A934}" sibTransId="{04DBB4D2-AB79-4725-BDC5-CFF25F866B69}"/>
    <dgm:cxn modelId="{A2A65D5F-E056-4C11-BE96-E15401BF29A4}" type="presOf" srcId="{AE24C239-1508-4755-819F-5E87AEBD125C}" destId="{989A6AC2-34F0-47CC-A7A7-C76DA802E46E}" srcOrd="1" destOrd="0" presId="urn:microsoft.com/office/officeart/2005/8/layout/lProcess2"/>
    <dgm:cxn modelId="{C4631A52-5B64-4AF5-9CE6-3957195A72AF}" type="presOf" srcId="{7324F91D-2FE5-46D5-8548-240178176D6B}" destId="{1B046E3D-810F-4186-90D8-C13895CA63FC}" srcOrd="0" destOrd="0" presId="urn:microsoft.com/office/officeart/2005/8/layout/lProcess2"/>
    <dgm:cxn modelId="{99FC1F15-4EB5-49B3-A5A0-A954AC6007B1}" type="presOf" srcId="{0D403033-9A52-4066-B954-ABB25CA8122D}" destId="{305A4F42-96AB-4DD6-AEAF-5D992822631D}" srcOrd="0" destOrd="0" presId="urn:microsoft.com/office/officeart/2005/8/layout/lProcess2"/>
    <dgm:cxn modelId="{ABD47E03-783D-4364-9E42-E8B67AC1483E}" type="presOf" srcId="{8E8BA751-534B-4AEB-9F9E-E0ED97666103}" destId="{08CCF5B8-34D9-4067-BE91-438C3BE2CE7E}" srcOrd="0" destOrd="0" presId="urn:microsoft.com/office/officeart/2005/8/layout/lProcess2"/>
    <dgm:cxn modelId="{0A6D4408-283E-4A2C-953B-3545EF9C3669}" type="presOf" srcId="{BFC5A5B4-D0E0-4ECC-99AF-268E7C080115}" destId="{E3CF6BE0-7E62-4AA4-A92C-A5129AA56180}" srcOrd="0" destOrd="0" presId="urn:microsoft.com/office/officeart/2005/8/layout/lProcess2"/>
    <dgm:cxn modelId="{71A496C5-5F8C-4970-A3B8-E13B57BE3CA1}" type="presOf" srcId="{8AFF3F67-ECD1-44A3-886F-793B64212692}" destId="{08B45FD9-1755-4A74-B46B-19EE017DF072}" srcOrd="0" destOrd="0" presId="urn:microsoft.com/office/officeart/2005/8/layout/lProcess2"/>
    <dgm:cxn modelId="{8A67BA74-2DC4-47AA-86CA-0F0BCEFA63CE}" srcId="{BFC5A5B4-D0E0-4ECC-99AF-268E7C080115}" destId="{1FD09D2E-2A74-4CD8-8429-414EE7BF54B9}" srcOrd="2" destOrd="0" parTransId="{030A6A70-0533-4328-AD04-C2E004A32CC0}" sibTransId="{22261017-F9CA-455E-94F9-BF39C9DEED39}"/>
    <dgm:cxn modelId="{BBEB7ACF-9AF3-4598-BF3A-F038DA2153F0}" type="presOf" srcId="{775D0B3C-97B1-4247-A620-34384AA3AFED}" destId="{797E4662-144D-471E-B289-609F1209C52F}" srcOrd="0" destOrd="0" presId="urn:microsoft.com/office/officeart/2005/8/layout/lProcess2"/>
    <dgm:cxn modelId="{F158CDB5-642B-40E8-A56A-C3A493868F04}" type="presParOf" srcId="{BFD9EC66-7E1E-4820-8143-4C8C648D0EDB}" destId="{70040366-AC5E-4F84-8C3F-4BEEC2FF5248}" srcOrd="0" destOrd="0" presId="urn:microsoft.com/office/officeart/2005/8/layout/lProcess2"/>
    <dgm:cxn modelId="{12DE531E-BF17-41D7-9980-AB967FDEFB1A}" type="presParOf" srcId="{70040366-AC5E-4F84-8C3F-4BEEC2FF5248}" destId="{E3CF6BE0-7E62-4AA4-A92C-A5129AA56180}" srcOrd="0" destOrd="0" presId="urn:microsoft.com/office/officeart/2005/8/layout/lProcess2"/>
    <dgm:cxn modelId="{89785F18-BC7B-4F33-A741-EA7EB93B636A}" type="presParOf" srcId="{70040366-AC5E-4F84-8C3F-4BEEC2FF5248}" destId="{F5BEC532-5C5C-4ACC-85F9-FB8F45D740E7}" srcOrd="1" destOrd="0" presId="urn:microsoft.com/office/officeart/2005/8/layout/lProcess2"/>
    <dgm:cxn modelId="{82A5F077-D98C-4C70-949C-397836289C96}" type="presParOf" srcId="{70040366-AC5E-4F84-8C3F-4BEEC2FF5248}" destId="{F048DCBF-3A4A-4DD7-84FE-45DF2C77013E}" srcOrd="2" destOrd="0" presId="urn:microsoft.com/office/officeart/2005/8/layout/lProcess2"/>
    <dgm:cxn modelId="{0113D83A-2954-4C82-AB06-A79EF0794EA3}" type="presParOf" srcId="{F048DCBF-3A4A-4DD7-84FE-45DF2C77013E}" destId="{AB68AA8A-5BE2-4ED6-AB57-60499023DFB5}" srcOrd="0" destOrd="0" presId="urn:microsoft.com/office/officeart/2005/8/layout/lProcess2"/>
    <dgm:cxn modelId="{E22E6129-2980-41F5-8A5B-796B96C8B66D}" type="presParOf" srcId="{AB68AA8A-5BE2-4ED6-AB57-60499023DFB5}" destId="{08CCF5B8-34D9-4067-BE91-438C3BE2CE7E}" srcOrd="0" destOrd="0" presId="urn:microsoft.com/office/officeart/2005/8/layout/lProcess2"/>
    <dgm:cxn modelId="{9D3E5EF5-2DD7-48F6-AD93-E7C16BF22C30}" type="presParOf" srcId="{AB68AA8A-5BE2-4ED6-AB57-60499023DFB5}" destId="{BEA089B4-BBCF-425D-A2AD-D185FDA66424}" srcOrd="1" destOrd="0" presId="urn:microsoft.com/office/officeart/2005/8/layout/lProcess2"/>
    <dgm:cxn modelId="{2306CC3C-C52E-4D25-96EB-98C1F4AE9045}" type="presParOf" srcId="{AB68AA8A-5BE2-4ED6-AB57-60499023DFB5}" destId="{B01F5F53-8BEA-4E74-8C87-6E14B320FA8D}" srcOrd="2" destOrd="0" presId="urn:microsoft.com/office/officeart/2005/8/layout/lProcess2"/>
    <dgm:cxn modelId="{2ABFD42C-42C4-485E-A7C6-9B05089024FC}" type="presParOf" srcId="{AB68AA8A-5BE2-4ED6-AB57-60499023DFB5}" destId="{DFBB0A4C-A5D5-45D8-B406-82BC30D9D760}" srcOrd="3" destOrd="0" presId="urn:microsoft.com/office/officeart/2005/8/layout/lProcess2"/>
    <dgm:cxn modelId="{03DDFEEB-A54F-44C7-A24D-8E8250EDF5B0}" type="presParOf" srcId="{AB68AA8A-5BE2-4ED6-AB57-60499023DFB5}" destId="{8C526EE3-A95F-4955-913A-0BB8C79019AC}" srcOrd="4" destOrd="0" presId="urn:microsoft.com/office/officeart/2005/8/layout/lProcess2"/>
    <dgm:cxn modelId="{50965556-FCC3-4C3C-A255-916563B2C66F}" type="presParOf" srcId="{AB68AA8A-5BE2-4ED6-AB57-60499023DFB5}" destId="{B2655502-CB48-448A-89E9-D93DD907E256}" srcOrd="5" destOrd="0" presId="urn:microsoft.com/office/officeart/2005/8/layout/lProcess2"/>
    <dgm:cxn modelId="{6172390A-B9AD-4C90-892D-7E5E34081BDB}" type="presParOf" srcId="{AB68AA8A-5BE2-4ED6-AB57-60499023DFB5}" destId="{395E55E1-2B86-44DF-B961-42A21CF89CB6}" srcOrd="6" destOrd="0" presId="urn:microsoft.com/office/officeart/2005/8/layout/lProcess2"/>
    <dgm:cxn modelId="{C0119E28-771D-4D4C-98C4-844CEF0939F6}" type="presParOf" srcId="{AB68AA8A-5BE2-4ED6-AB57-60499023DFB5}" destId="{76644ACF-B294-44AF-91F2-B6096C5254C6}" srcOrd="7" destOrd="0" presId="urn:microsoft.com/office/officeart/2005/8/layout/lProcess2"/>
    <dgm:cxn modelId="{12828454-ADBF-45FA-9B3F-415E25A293AE}" type="presParOf" srcId="{AB68AA8A-5BE2-4ED6-AB57-60499023DFB5}" destId="{1B046E3D-810F-4186-90D8-C13895CA63FC}" srcOrd="8" destOrd="0" presId="urn:microsoft.com/office/officeart/2005/8/layout/lProcess2"/>
    <dgm:cxn modelId="{579F16E1-653B-4113-A6E9-DA58CF347B6E}" type="presParOf" srcId="{BFD9EC66-7E1E-4820-8143-4C8C648D0EDB}" destId="{0DE0D5D9-73AC-470F-BFED-3ABFB519124E}" srcOrd="1" destOrd="0" presId="urn:microsoft.com/office/officeart/2005/8/layout/lProcess2"/>
    <dgm:cxn modelId="{4F06B16A-E15F-4F11-965D-B7F158E36216}" type="presParOf" srcId="{BFD9EC66-7E1E-4820-8143-4C8C648D0EDB}" destId="{E46C7F0D-39CC-48E0-88ED-A29E6D987DC9}" srcOrd="2" destOrd="0" presId="urn:microsoft.com/office/officeart/2005/8/layout/lProcess2"/>
    <dgm:cxn modelId="{2ACF043B-6EC4-430E-8F9B-7E8529AEE507}" type="presParOf" srcId="{E46C7F0D-39CC-48E0-88ED-A29E6D987DC9}" destId="{D773D787-7E45-4E1C-9F10-92001C1852F8}" srcOrd="0" destOrd="0" presId="urn:microsoft.com/office/officeart/2005/8/layout/lProcess2"/>
    <dgm:cxn modelId="{19942197-C913-4B79-A037-DD67B8177D2F}" type="presParOf" srcId="{E46C7F0D-39CC-48E0-88ED-A29E6D987DC9}" destId="{9CD1D938-E3A8-4C34-997A-5BAA90D06599}" srcOrd="1" destOrd="0" presId="urn:microsoft.com/office/officeart/2005/8/layout/lProcess2"/>
    <dgm:cxn modelId="{04EBCB6D-2862-44B2-A17D-0E2F752742BB}" type="presParOf" srcId="{E46C7F0D-39CC-48E0-88ED-A29E6D987DC9}" destId="{2DB609B6-AAD7-40E7-9CF6-64E40A1A3248}" srcOrd="2" destOrd="0" presId="urn:microsoft.com/office/officeart/2005/8/layout/lProcess2"/>
    <dgm:cxn modelId="{C63E4AC0-4A53-49ED-9029-C51A08BDF4C0}" type="presParOf" srcId="{2DB609B6-AAD7-40E7-9CF6-64E40A1A3248}" destId="{20391FCE-AB44-4C53-9055-A995D39890DC}" srcOrd="0" destOrd="0" presId="urn:microsoft.com/office/officeart/2005/8/layout/lProcess2"/>
    <dgm:cxn modelId="{FF183F2A-CBEB-4DC0-A7F4-531A67FD7B32}" type="presParOf" srcId="{20391FCE-AB44-4C53-9055-A995D39890DC}" destId="{669205AC-36E5-4245-B13C-579C1992446A}" srcOrd="0" destOrd="0" presId="urn:microsoft.com/office/officeart/2005/8/layout/lProcess2"/>
    <dgm:cxn modelId="{04D70B7D-496C-43FA-80A2-385228778FA2}" type="presParOf" srcId="{20391FCE-AB44-4C53-9055-A995D39890DC}" destId="{548DC518-5A30-41AC-9F7C-023CBE67C314}" srcOrd="1" destOrd="0" presId="urn:microsoft.com/office/officeart/2005/8/layout/lProcess2"/>
    <dgm:cxn modelId="{04306061-1850-42C0-ADE6-ED2D53AEF1DC}" type="presParOf" srcId="{20391FCE-AB44-4C53-9055-A995D39890DC}" destId="{305A4F42-96AB-4DD6-AEAF-5D992822631D}" srcOrd="2" destOrd="0" presId="urn:microsoft.com/office/officeart/2005/8/layout/lProcess2"/>
    <dgm:cxn modelId="{83DAE907-F0AB-4DFF-866E-84FA3F8988E4}" type="presParOf" srcId="{20391FCE-AB44-4C53-9055-A995D39890DC}" destId="{A8623FCC-871B-4614-A5F1-3A0C94510B60}" srcOrd="3" destOrd="0" presId="urn:microsoft.com/office/officeart/2005/8/layout/lProcess2"/>
    <dgm:cxn modelId="{F53F7529-3C16-4924-8FD5-D130CCAD51F8}" type="presParOf" srcId="{20391FCE-AB44-4C53-9055-A995D39890DC}" destId="{ECBE8675-1CA0-453B-A8BB-AF50C4FA67B4}" srcOrd="4" destOrd="0" presId="urn:microsoft.com/office/officeart/2005/8/layout/lProcess2"/>
    <dgm:cxn modelId="{23377A0B-7513-42E1-99FF-693DA2949AC1}" type="presParOf" srcId="{20391FCE-AB44-4C53-9055-A995D39890DC}" destId="{84C21C44-17FA-4AEC-8BF2-7C188A59C84F}" srcOrd="5" destOrd="0" presId="urn:microsoft.com/office/officeart/2005/8/layout/lProcess2"/>
    <dgm:cxn modelId="{D560A957-0226-4F13-BE05-A14AD558693E}" type="presParOf" srcId="{20391FCE-AB44-4C53-9055-A995D39890DC}" destId="{92E0D6B9-2D63-4827-98C6-12123F3FA6E5}" srcOrd="6" destOrd="0" presId="urn:microsoft.com/office/officeart/2005/8/layout/lProcess2"/>
    <dgm:cxn modelId="{79EC0018-1E83-4E0D-AAF8-D49CA453BDD5}" type="presParOf" srcId="{20391FCE-AB44-4C53-9055-A995D39890DC}" destId="{761C95BC-F9EC-4068-B2BE-F8C195CAC56B}" srcOrd="7" destOrd="0" presId="urn:microsoft.com/office/officeart/2005/8/layout/lProcess2"/>
    <dgm:cxn modelId="{6F6EE518-EEAA-4C1F-B1A7-BB4C292818FE}" type="presParOf" srcId="{20391FCE-AB44-4C53-9055-A995D39890DC}" destId="{797E4662-144D-471E-B289-609F1209C52F}" srcOrd="8" destOrd="0" presId="urn:microsoft.com/office/officeart/2005/8/layout/lProcess2"/>
    <dgm:cxn modelId="{D0ED3539-693C-4FE9-8D09-8A679F34F8E3}" type="presParOf" srcId="{BFD9EC66-7E1E-4820-8143-4C8C648D0EDB}" destId="{99F1325C-97D8-4C3E-A1E7-94F3611CD364}" srcOrd="3" destOrd="0" presId="urn:microsoft.com/office/officeart/2005/8/layout/lProcess2"/>
    <dgm:cxn modelId="{77F4BE59-1276-45F9-89D9-E17162FE9624}" type="presParOf" srcId="{BFD9EC66-7E1E-4820-8143-4C8C648D0EDB}" destId="{25D4D6FE-8E6E-48D9-9BD8-22E383337B62}" srcOrd="4" destOrd="0" presId="urn:microsoft.com/office/officeart/2005/8/layout/lProcess2"/>
    <dgm:cxn modelId="{647EA56D-F5A4-4250-B94C-C5E91E68E0B5}" type="presParOf" srcId="{25D4D6FE-8E6E-48D9-9BD8-22E383337B62}" destId="{B8D19E46-DDAD-457F-B901-635613BDBDE7}" srcOrd="0" destOrd="0" presId="urn:microsoft.com/office/officeart/2005/8/layout/lProcess2"/>
    <dgm:cxn modelId="{655DE6BC-BC27-42BF-8C84-423108BA44AE}" type="presParOf" srcId="{25D4D6FE-8E6E-48D9-9BD8-22E383337B62}" destId="{989A6AC2-34F0-47CC-A7A7-C76DA802E46E}" srcOrd="1" destOrd="0" presId="urn:microsoft.com/office/officeart/2005/8/layout/lProcess2"/>
    <dgm:cxn modelId="{9A15E287-268F-4D93-BA64-1943B6CD3647}" type="presParOf" srcId="{25D4D6FE-8E6E-48D9-9BD8-22E383337B62}" destId="{EA2FCDB2-B582-4ED0-9C0A-CDBA6489A2DA}" srcOrd="2" destOrd="0" presId="urn:microsoft.com/office/officeart/2005/8/layout/lProcess2"/>
    <dgm:cxn modelId="{9C9EDA56-B40E-4988-98BF-25B2954DDB47}" type="presParOf" srcId="{EA2FCDB2-B582-4ED0-9C0A-CDBA6489A2DA}" destId="{B320C3C0-6613-419B-8005-A3A1B947C99F}" srcOrd="0" destOrd="0" presId="urn:microsoft.com/office/officeart/2005/8/layout/lProcess2"/>
    <dgm:cxn modelId="{7C6CE363-32C5-427D-A737-251408F1CF3B}" type="presParOf" srcId="{B320C3C0-6613-419B-8005-A3A1B947C99F}" destId="{C01DE590-6A8A-4527-B96E-6497372523A9}" srcOrd="0" destOrd="0" presId="urn:microsoft.com/office/officeart/2005/8/layout/lProcess2"/>
    <dgm:cxn modelId="{0A999BA4-0726-4D85-A910-881AAC38A0D9}" type="presParOf" srcId="{B320C3C0-6613-419B-8005-A3A1B947C99F}" destId="{7BCCECE1-331F-4737-880C-C285A7841458}" srcOrd="1" destOrd="0" presId="urn:microsoft.com/office/officeart/2005/8/layout/lProcess2"/>
    <dgm:cxn modelId="{1211F0F0-3E07-4ACC-ABBC-AD8D6C0CA642}" type="presParOf" srcId="{B320C3C0-6613-419B-8005-A3A1B947C99F}" destId="{08B45FD9-1755-4A74-B46B-19EE017DF072}" srcOrd="2" destOrd="0" presId="urn:microsoft.com/office/officeart/2005/8/layout/lProcess2"/>
    <dgm:cxn modelId="{296EECFD-F442-4083-B455-33B85D049A04}" type="presParOf" srcId="{B320C3C0-6613-419B-8005-A3A1B947C99F}" destId="{87337FD3-5070-46F5-AF09-55B4F998DBC6}" srcOrd="3" destOrd="0" presId="urn:microsoft.com/office/officeart/2005/8/layout/lProcess2"/>
    <dgm:cxn modelId="{829C7781-10E0-4679-A633-38CA660177B4}" type="presParOf" srcId="{B320C3C0-6613-419B-8005-A3A1B947C99F}" destId="{85BABF7C-9F66-48CA-919E-614DC241976D}" srcOrd="4" destOrd="0" presId="urn:microsoft.com/office/officeart/2005/8/layout/lProcess2"/>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3CF6BE0-7E62-4AA4-A92C-A5129AA56180}">
      <dsp:nvSpPr>
        <dsp:cNvPr id="0" name=""/>
        <dsp:cNvSpPr/>
      </dsp:nvSpPr>
      <dsp:spPr>
        <a:xfrm>
          <a:off x="22906" y="0"/>
          <a:ext cx="1885621" cy="4472940"/>
        </a:xfrm>
        <a:prstGeom prst="roundRect">
          <a:avLst>
            <a:gd name="adj" fmla="val 10000"/>
          </a:avLst>
        </a:prstGeom>
        <a:solidFill>
          <a:schemeClr val="accent5">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buNone/>
          </a:pPr>
          <a:r>
            <a:rPr lang="bs-Latn-BA" sz="1200" b="1" u="none" kern="1200">
              <a:latin typeface="Cambria"/>
              <a:ea typeface="+mn-ea"/>
              <a:cs typeface="+mn-cs"/>
            </a:rPr>
            <a:t>Srednjeročni cilj 1.</a:t>
          </a:r>
        </a:p>
        <a:p>
          <a:pPr lvl="0" algn="ctr" defTabSz="533400">
            <a:lnSpc>
              <a:spcPct val="90000"/>
            </a:lnSpc>
            <a:spcBef>
              <a:spcPct val="0"/>
            </a:spcBef>
            <a:spcAft>
              <a:spcPct val="35000"/>
            </a:spcAft>
            <a:buNone/>
          </a:pPr>
          <a:r>
            <a:rPr lang="bs-Latn-BA" sz="1200" b="0" u="none" kern="1200">
              <a:latin typeface="Cambria"/>
              <a:ea typeface="+mn-ea"/>
              <a:cs typeface="+mn-cs"/>
            </a:rPr>
            <a:t>Ministarstva i službe djeluju za ravnopravnost spolova</a:t>
          </a:r>
          <a:endParaRPr lang="en-GB" sz="1200" b="0" u="none" kern="1200">
            <a:latin typeface="Cambria"/>
            <a:ea typeface="+mn-ea"/>
            <a:cs typeface="+mn-cs"/>
          </a:endParaRPr>
        </a:p>
      </dsp:txBody>
      <dsp:txXfrm>
        <a:off x="22906" y="0"/>
        <a:ext cx="1885621" cy="1341882"/>
      </dsp:txXfrm>
    </dsp:sp>
    <dsp:sp modelId="{08CCF5B8-34D9-4067-BE91-438C3BE2CE7E}">
      <dsp:nvSpPr>
        <dsp:cNvPr id="0" name=""/>
        <dsp:cNvSpPr/>
      </dsp:nvSpPr>
      <dsp:spPr>
        <a:xfrm>
          <a:off x="188840" y="1342728"/>
          <a:ext cx="1508497" cy="517456"/>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5240" rIns="20320" bIns="15240" numCol="1" spcCol="1270" anchor="ctr" anchorCtr="0">
          <a:noAutofit/>
        </a:bodyPr>
        <a:lstStyle/>
        <a:p>
          <a:pPr lvl="0" algn="ctr" defTabSz="355600">
            <a:lnSpc>
              <a:spcPct val="90000"/>
            </a:lnSpc>
            <a:spcBef>
              <a:spcPct val="0"/>
            </a:spcBef>
            <a:spcAft>
              <a:spcPct val="35000"/>
            </a:spcAft>
            <a:buNone/>
          </a:pPr>
          <a:r>
            <a:rPr lang="en-GB" sz="800" b="0" u="none" kern="1200">
              <a:ln/>
              <a:latin typeface="Cambria"/>
              <a:ea typeface="+mn-ea"/>
              <a:cs typeface="+mn-cs"/>
            </a:rPr>
            <a:t>1.1. Uspostavljeno kantonalno koordinacijsko tijelo za praćenje Gender akcionog plana</a:t>
          </a:r>
          <a:endParaRPr lang="bs-Latn-BA" sz="800" b="0" u="none" kern="1200">
            <a:ln/>
            <a:latin typeface="Cambria"/>
            <a:ea typeface="+mn-ea"/>
            <a:cs typeface="+mn-cs"/>
          </a:endParaRPr>
        </a:p>
      </dsp:txBody>
      <dsp:txXfrm>
        <a:off x="203996" y="1357884"/>
        <a:ext cx="1478185" cy="487144"/>
      </dsp:txXfrm>
    </dsp:sp>
    <dsp:sp modelId="{B01F5F53-8BEA-4E74-8C87-6E14B320FA8D}">
      <dsp:nvSpPr>
        <dsp:cNvPr id="0" name=""/>
        <dsp:cNvSpPr/>
      </dsp:nvSpPr>
      <dsp:spPr>
        <a:xfrm>
          <a:off x="188840" y="1939793"/>
          <a:ext cx="1508497" cy="517456"/>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5240" rIns="20320" bIns="15240" numCol="1" spcCol="1270" anchor="ctr" anchorCtr="0">
          <a:noAutofit/>
        </a:bodyPr>
        <a:lstStyle/>
        <a:p>
          <a:pPr lvl="0" algn="ctr" defTabSz="355600">
            <a:lnSpc>
              <a:spcPct val="90000"/>
            </a:lnSpc>
            <a:spcBef>
              <a:spcPct val="0"/>
            </a:spcBef>
            <a:spcAft>
              <a:spcPct val="35000"/>
            </a:spcAft>
            <a:buNone/>
          </a:pPr>
          <a:r>
            <a:rPr lang="en-GB" sz="800" b="0" u="none" kern="1200">
              <a:ln/>
              <a:latin typeface="Cambria"/>
              <a:ea typeface="+mn-ea"/>
              <a:cs typeface="+mn-cs"/>
            </a:rPr>
            <a:t>1.2. Kapaciteti koordinacionog odbora unaprijeđeni</a:t>
          </a:r>
        </a:p>
      </dsp:txBody>
      <dsp:txXfrm>
        <a:off x="203996" y="1954949"/>
        <a:ext cx="1478185" cy="487144"/>
      </dsp:txXfrm>
    </dsp:sp>
    <dsp:sp modelId="{8C526EE3-A95F-4955-913A-0BB8C79019AC}">
      <dsp:nvSpPr>
        <dsp:cNvPr id="0" name=""/>
        <dsp:cNvSpPr/>
      </dsp:nvSpPr>
      <dsp:spPr>
        <a:xfrm>
          <a:off x="188840" y="2536859"/>
          <a:ext cx="1508497" cy="517456"/>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5240" rIns="20320" bIns="15240" numCol="1" spcCol="1270" anchor="ctr" anchorCtr="0">
          <a:noAutofit/>
        </a:bodyPr>
        <a:lstStyle/>
        <a:p>
          <a:pPr lvl="0" algn="ctr" defTabSz="355600">
            <a:lnSpc>
              <a:spcPct val="90000"/>
            </a:lnSpc>
            <a:spcBef>
              <a:spcPct val="0"/>
            </a:spcBef>
            <a:spcAft>
              <a:spcPct val="35000"/>
            </a:spcAft>
            <a:buNone/>
          </a:pPr>
          <a:r>
            <a:rPr lang="en-GB" sz="800" b="0" u="none" kern="1200">
              <a:ln/>
              <a:latin typeface="Cambria"/>
              <a:ea typeface="+mn-ea"/>
              <a:cs typeface="+mn-cs"/>
            </a:rPr>
            <a:t>1.3. Uspostavljeni instrumenti za redovnu procjenu uticaja propisa na ravnopravnost spolova</a:t>
          </a:r>
        </a:p>
      </dsp:txBody>
      <dsp:txXfrm>
        <a:off x="203996" y="2552015"/>
        <a:ext cx="1478185" cy="487144"/>
      </dsp:txXfrm>
    </dsp:sp>
    <dsp:sp modelId="{395E55E1-2B86-44DF-B961-42A21CF89CB6}">
      <dsp:nvSpPr>
        <dsp:cNvPr id="0" name=""/>
        <dsp:cNvSpPr/>
      </dsp:nvSpPr>
      <dsp:spPr>
        <a:xfrm>
          <a:off x="188840" y="3133924"/>
          <a:ext cx="1508497" cy="517456"/>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5240" rIns="20320" bIns="15240" numCol="1" spcCol="1270" anchor="ctr" anchorCtr="0">
          <a:noAutofit/>
        </a:bodyPr>
        <a:lstStyle/>
        <a:p>
          <a:pPr lvl="0" algn="ctr" defTabSz="355600">
            <a:lnSpc>
              <a:spcPct val="90000"/>
            </a:lnSpc>
            <a:spcBef>
              <a:spcPct val="0"/>
            </a:spcBef>
            <a:spcAft>
              <a:spcPct val="35000"/>
            </a:spcAft>
            <a:buNone/>
          </a:pPr>
          <a:r>
            <a:rPr lang="en-GB" sz="800" b="0" u="none" kern="1200">
              <a:ln/>
              <a:latin typeface="Cambria"/>
              <a:ea typeface="+mn-ea"/>
              <a:cs typeface="+mn-cs"/>
            </a:rPr>
            <a:t>1.4. Provedene sektorske analize mogućnosti za unapređenje stanja ravnopravnosti spolova u prioritetnim oblastima</a:t>
          </a:r>
        </a:p>
      </dsp:txBody>
      <dsp:txXfrm>
        <a:off x="203996" y="3149080"/>
        <a:ext cx="1478185" cy="487144"/>
      </dsp:txXfrm>
    </dsp:sp>
    <dsp:sp modelId="{1B046E3D-810F-4186-90D8-C13895CA63FC}">
      <dsp:nvSpPr>
        <dsp:cNvPr id="0" name=""/>
        <dsp:cNvSpPr/>
      </dsp:nvSpPr>
      <dsp:spPr>
        <a:xfrm>
          <a:off x="188840" y="3730989"/>
          <a:ext cx="1508497" cy="517456"/>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5240" rIns="20320" bIns="15240" numCol="1" spcCol="1270" anchor="ctr" anchorCtr="0">
          <a:noAutofit/>
        </a:bodyPr>
        <a:lstStyle/>
        <a:p>
          <a:pPr lvl="0" algn="ctr" defTabSz="355600">
            <a:lnSpc>
              <a:spcPct val="90000"/>
            </a:lnSpc>
            <a:spcBef>
              <a:spcPct val="0"/>
            </a:spcBef>
            <a:spcAft>
              <a:spcPct val="35000"/>
            </a:spcAft>
            <a:buNone/>
          </a:pPr>
          <a:r>
            <a:rPr lang="en-GB" sz="800" b="0" u="none" kern="1200">
              <a:ln/>
              <a:latin typeface="Cambria"/>
              <a:ea typeface="+mn-ea"/>
              <a:cs typeface="+mn-cs"/>
            </a:rPr>
            <a:t>1.</a:t>
          </a:r>
          <a:r>
            <a:rPr lang="bs-Latn-BA" sz="800" b="0" u="none" kern="1200">
              <a:ln/>
              <a:latin typeface="Cambria"/>
              <a:ea typeface="+mn-ea"/>
              <a:cs typeface="+mn-cs"/>
            </a:rPr>
            <a:t>5</a:t>
          </a:r>
          <a:r>
            <a:rPr lang="en-GB" sz="800" b="0" u="none" kern="1200">
              <a:ln/>
              <a:latin typeface="Cambria"/>
              <a:ea typeface="+mn-ea"/>
              <a:cs typeface="+mn-cs"/>
            </a:rPr>
            <a:t>. Budžet sadrži procjenu uticaja na ravnopravnost spolova (rodno-odgovorno budžetiranje)</a:t>
          </a:r>
        </a:p>
      </dsp:txBody>
      <dsp:txXfrm>
        <a:off x="203996" y="3746145"/>
        <a:ext cx="1478185" cy="487144"/>
      </dsp:txXfrm>
    </dsp:sp>
    <dsp:sp modelId="{D773D787-7E45-4E1C-9F10-92001C1852F8}">
      <dsp:nvSpPr>
        <dsp:cNvPr id="0" name=""/>
        <dsp:cNvSpPr/>
      </dsp:nvSpPr>
      <dsp:spPr>
        <a:xfrm>
          <a:off x="2027322" y="0"/>
          <a:ext cx="1674960" cy="4472940"/>
        </a:xfrm>
        <a:prstGeom prst="roundRect">
          <a:avLst>
            <a:gd name="adj" fmla="val 10000"/>
          </a:avLst>
        </a:prstGeom>
        <a:solidFill>
          <a:schemeClr val="accent5">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buFont typeface="Times New Roman" panose="02020603050405020304" pitchFamily="18" charset="0"/>
            <a:buNone/>
          </a:pPr>
          <a:r>
            <a:rPr lang="bs-Latn-BA" sz="1200" b="1" u="none" kern="1200">
              <a:latin typeface="Cambria"/>
              <a:ea typeface="+mn-ea"/>
              <a:cs typeface="+mn-cs"/>
            </a:rPr>
            <a:t>Srednjeročni cilj 2.</a:t>
          </a:r>
          <a:r>
            <a:rPr lang="bs-Latn-BA" sz="1200" b="0" u="none" kern="1200">
              <a:latin typeface="Cambria"/>
              <a:ea typeface="+mn-ea"/>
              <a:cs typeface="+mn-cs"/>
            </a:rPr>
            <a:t> </a:t>
          </a:r>
        </a:p>
        <a:p>
          <a:pPr lvl="0" algn="ctr" defTabSz="533400">
            <a:lnSpc>
              <a:spcPct val="90000"/>
            </a:lnSpc>
            <a:spcBef>
              <a:spcPct val="0"/>
            </a:spcBef>
            <a:spcAft>
              <a:spcPct val="35000"/>
            </a:spcAft>
            <a:buFont typeface="Times New Roman" panose="02020603050405020304" pitchFamily="18" charset="0"/>
            <a:buNone/>
          </a:pPr>
          <a:r>
            <a:rPr lang="bs-Latn-BA" sz="1200" b="0" u="none" kern="1200">
              <a:latin typeface="Cambria"/>
              <a:ea typeface="+mn-ea"/>
              <a:cs typeface="+mn-cs"/>
            </a:rPr>
            <a:t>Unapređeno je stanje ravnopravnosti spolova na području</a:t>
          </a:r>
          <a:endParaRPr lang="en-GB" sz="1200" b="0" u="none" kern="1200">
            <a:latin typeface="Cambria"/>
            <a:ea typeface="+mn-ea"/>
            <a:cs typeface="+mn-cs"/>
          </a:endParaRPr>
        </a:p>
      </dsp:txBody>
      <dsp:txXfrm>
        <a:off x="2027322" y="0"/>
        <a:ext cx="1674960" cy="1341882"/>
      </dsp:txXfrm>
    </dsp:sp>
    <dsp:sp modelId="{669205AC-36E5-4245-B13C-579C1992446A}">
      <dsp:nvSpPr>
        <dsp:cNvPr id="0" name=""/>
        <dsp:cNvSpPr/>
      </dsp:nvSpPr>
      <dsp:spPr>
        <a:xfrm>
          <a:off x="2110553" y="1342728"/>
          <a:ext cx="1508497" cy="517456"/>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5240" rIns="20320" bIns="15240" numCol="1" spcCol="1270" anchor="ctr" anchorCtr="0">
          <a:noAutofit/>
        </a:bodyPr>
        <a:lstStyle/>
        <a:p>
          <a:pPr lvl="0" algn="ctr" defTabSz="355600">
            <a:lnSpc>
              <a:spcPct val="90000"/>
            </a:lnSpc>
            <a:spcBef>
              <a:spcPct val="0"/>
            </a:spcBef>
            <a:spcAft>
              <a:spcPct val="35000"/>
            </a:spcAft>
            <a:buNone/>
          </a:pPr>
          <a:r>
            <a:rPr lang="en-GB" sz="800" b="0" u="none" kern="1200">
              <a:ln/>
              <a:latin typeface="Cambria"/>
              <a:ea typeface="+mn-ea"/>
              <a:cs typeface="+mn-cs"/>
            </a:rPr>
            <a:t>2.1. Obrazovni sektor doprinosi ravnopravnosti spolova</a:t>
          </a:r>
        </a:p>
      </dsp:txBody>
      <dsp:txXfrm>
        <a:off x="2125709" y="1357884"/>
        <a:ext cx="1478185" cy="487144"/>
      </dsp:txXfrm>
    </dsp:sp>
    <dsp:sp modelId="{305A4F42-96AB-4DD6-AEAF-5D992822631D}">
      <dsp:nvSpPr>
        <dsp:cNvPr id="0" name=""/>
        <dsp:cNvSpPr/>
      </dsp:nvSpPr>
      <dsp:spPr>
        <a:xfrm>
          <a:off x="2110553" y="1939793"/>
          <a:ext cx="1508497" cy="517456"/>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5240" rIns="20320" bIns="15240" numCol="1" spcCol="1270" anchor="ctr" anchorCtr="0">
          <a:noAutofit/>
        </a:bodyPr>
        <a:lstStyle/>
        <a:p>
          <a:pPr lvl="0" algn="ctr" defTabSz="355600">
            <a:lnSpc>
              <a:spcPct val="90000"/>
            </a:lnSpc>
            <a:spcBef>
              <a:spcPct val="0"/>
            </a:spcBef>
            <a:spcAft>
              <a:spcPct val="35000"/>
            </a:spcAft>
            <a:buNone/>
          </a:pPr>
          <a:r>
            <a:rPr lang="en-GB" sz="800" b="0" u="none" kern="1200">
              <a:ln/>
              <a:latin typeface="Cambria"/>
              <a:ea typeface="+mn-ea"/>
              <a:cs typeface="+mn-cs"/>
            </a:rPr>
            <a:t>2.2. Smanjen jaz između žena i muškaraca na tržištu rada</a:t>
          </a:r>
        </a:p>
      </dsp:txBody>
      <dsp:txXfrm>
        <a:off x="2125709" y="1954949"/>
        <a:ext cx="1478185" cy="487144"/>
      </dsp:txXfrm>
    </dsp:sp>
    <dsp:sp modelId="{ECBE8675-1CA0-453B-A8BB-AF50C4FA67B4}">
      <dsp:nvSpPr>
        <dsp:cNvPr id="0" name=""/>
        <dsp:cNvSpPr/>
      </dsp:nvSpPr>
      <dsp:spPr>
        <a:xfrm>
          <a:off x="2110553" y="2536859"/>
          <a:ext cx="1508497" cy="517456"/>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5240" rIns="20320" bIns="15240" numCol="1" spcCol="1270" anchor="ctr" anchorCtr="0">
          <a:noAutofit/>
        </a:bodyPr>
        <a:lstStyle/>
        <a:p>
          <a:pPr lvl="0" algn="ctr" defTabSz="355600">
            <a:lnSpc>
              <a:spcPct val="90000"/>
            </a:lnSpc>
            <a:spcBef>
              <a:spcPct val="0"/>
            </a:spcBef>
            <a:spcAft>
              <a:spcPct val="35000"/>
            </a:spcAft>
            <a:buNone/>
          </a:pPr>
          <a:r>
            <a:rPr lang="en-GB" sz="800" b="0" u="none" kern="1200">
              <a:ln/>
              <a:latin typeface="Cambria"/>
              <a:ea typeface="+mn-ea"/>
              <a:cs typeface="+mn-cs"/>
            </a:rPr>
            <a:t>2.</a:t>
          </a:r>
          <a:r>
            <a:rPr lang="bs-Latn-BA" sz="800" b="0" u="none" kern="1200">
              <a:ln/>
              <a:latin typeface="Cambria"/>
              <a:ea typeface="+mn-ea"/>
              <a:cs typeface="+mn-cs"/>
            </a:rPr>
            <a:t>3</a:t>
          </a:r>
          <a:r>
            <a:rPr lang="en-GB" sz="800" b="0" u="none" kern="1200">
              <a:ln/>
              <a:latin typeface="Cambria"/>
              <a:ea typeface="+mn-ea"/>
              <a:cs typeface="+mn-cs"/>
            </a:rPr>
            <a:t>. Prevencija i zaštita od nasilja u porodici i nasilja na </a:t>
          </a:r>
          <a:r>
            <a:rPr lang="bs-Latn-BA" sz="800" b="0" u="none" kern="1200">
              <a:ln/>
              <a:latin typeface="Cambria"/>
              <a:ea typeface="+mn-ea"/>
              <a:cs typeface="+mn-cs"/>
            </a:rPr>
            <a:t>osnovu spola</a:t>
          </a:r>
          <a:endParaRPr lang="en-GB" sz="800" b="0" u="none" kern="1200">
            <a:ln/>
            <a:latin typeface="Cambria"/>
            <a:ea typeface="+mn-ea"/>
            <a:cs typeface="+mn-cs"/>
          </a:endParaRPr>
        </a:p>
      </dsp:txBody>
      <dsp:txXfrm>
        <a:off x="2125709" y="2552015"/>
        <a:ext cx="1478185" cy="487144"/>
      </dsp:txXfrm>
    </dsp:sp>
    <dsp:sp modelId="{92E0D6B9-2D63-4827-98C6-12123F3FA6E5}">
      <dsp:nvSpPr>
        <dsp:cNvPr id="0" name=""/>
        <dsp:cNvSpPr/>
      </dsp:nvSpPr>
      <dsp:spPr>
        <a:xfrm>
          <a:off x="2110553" y="3133924"/>
          <a:ext cx="1508497" cy="517456"/>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5240" rIns="20320" bIns="15240" numCol="1" spcCol="1270" anchor="ctr" anchorCtr="0">
          <a:noAutofit/>
        </a:bodyPr>
        <a:lstStyle/>
        <a:p>
          <a:pPr lvl="0" algn="ctr" defTabSz="355600">
            <a:lnSpc>
              <a:spcPct val="90000"/>
            </a:lnSpc>
            <a:spcBef>
              <a:spcPct val="0"/>
            </a:spcBef>
            <a:spcAft>
              <a:spcPct val="35000"/>
            </a:spcAft>
            <a:buNone/>
          </a:pPr>
          <a:r>
            <a:rPr lang="en-GB" sz="800" b="0" u="none" kern="1200">
              <a:ln/>
              <a:latin typeface="Cambria"/>
              <a:ea typeface="+mn-ea"/>
              <a:cs typeface="+mn-cs"/>
            </a:rPr>
            <a:t>2.</a:t>
          </a:r>
          <a:r>
            <a:rPr lang="bs-Latn-BA" sz="800" b="0" u="none" kern="1200">
              <a:ln/>
              <a:latin typeface="Cambria"/>
              <a:ea typeface="+mn-ea"/>
              <a:cs typeface="+mn-cs"/>
            </a:rPr>
            <a:t>4</a:t>
          </a:r>
          <a:r>
            <a:rPr lang="en-GB" sz="800" b="0" u="none" kern="1200">
              <a:ln/>
              <a:latin typeface="Cambria"/>
              <a:ea typeface="+mn-ea"/>
              <a:cs typeface="+mn-cs"/>
            </a:rPr>
            <a:t>. Osigurana ravnopravna zastupljenost osoba muškog i ženskog spola u tijelima nad kojima Kanton vrši nadzor</a:t>
          </a:r>
        </a:p>
      </dsp:txBody>
      <dsp:txXfrm>
        <a:off x="2125709" y="3149080"/>
        <a:ext cx="1478185" cy="487144"/>
      </dsp:txXfrm>
    </dsp:sp>
    <dsp:sp modelId="{797E4662-144D-471E-B289-609F1209C52F}">
      <dsp:nvSpPr>
        <dsp:cNvPr id="0" name=""/>
        <dsp:cNvSpPr/>
      </dsp:nvSpPr>
      <dsp:spPr>
        <a:xfrm>
          <a:off x="2110553" y="3730989"/>
          <a:ext cx="1508497" cy="517456"/>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5240" rIns="20320" bIns="15240" numCol="1" spcCol="1270" anchor="ctr" anchorCtr="0">
          <a:noAutofit/>
        </a:bodyPr>
        <a:lstStyle/>
        <a:p>
          <a:pPr lvl="0" algn="ctr" defTabSz="355600">
            <a:lnSpc>
              <a:spcPct val="90000"/>
            </a:lnSpc>
            <a:spcBef>
              <a:spcPct val="0"/>
            </a:spcBef>
            <a:spcAft>
              <a:spcPct val="35000"/>
            </a:spcAft>
            <a:buNone/>
          </a:pPr>
          <a:r>
            <a:rPr lang="bs-Latn-BA" sz="800" b="0" u="none" kern="1200">
              <a:ln/>
              <a:latin typeface="Cambria"/>
              <a:ea typeface="+mn-ea"/>
              <a:cs typeface="+mn-cs"/>
            </a:rPr>
            <a:t>2.5. Unaprijeđeno zdravlje i seksualno i reproduktivno zdravlje</a:t>
          </a:r>
          <a:endParaRPr lang="en-GB" sz="800" b="0" u="none" kern="1200">
            <a:ln/>
            <a:latin typeface="Cambria"/>
            <a:ea typeface="+mn-ea"/>
            <a:cs typeface="+mn-cs"/>
          </a:endParaRPr>
        </a:p>
      </dsp:txBody>
      <dsp:txXfrm>
        <a:off x="2125709" y="3746145"/>
        <a:ext cx="1478185" cy="487144"/>
      </dsp:txXfrm>
    </dsp:sp>
    <dsp:sp modelId="{B8D19E46-DDAD-457F-B901-635613BDBDE7}">
      <dsp:nvSpPr>
        <dsp:cNvPr id="0" name=""/>
        <dsp:cNvSpPr/>
      </dsp:nvSpPr>
      <dsp:spPr>
        <a:xfrm>
          <a:off x="3843704" y="0"/>
          <a:ext cx="1885621" cy="4472940"/>
        </a:xfrm>
        <a:prstGeom prst="roundRect">
          <a:avLst>
            <a:gd name="adj" fmla="val 10000"/>
          </a:avLst>
        </a:prstGeom>
        <a:solidFill>
          <a:schemeClr val="accent5">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buFont typeface="Times New Roman" panose="02020603050405020304" pitchFamily="18" charset="0"/>
            <a:buNone/>
          </a:pPr>
          <a:endParaRPr lang="bs-Latn-BA" sz="900" b="1" u="none" kern="1200">
            <a:latin typeface="Cambria"/>
            <a:ea typeface="+mn-ea"/>
            <a:cs typeface="+mn-cs"/>
          </a:endParaRPr>
        </a:p>
        <a:p>
          <a:pPr lvl="0" algn="ctr" defTabSz="400050">
            <a:lnSpc>
              <a:spcPct val="90000"/>
            </a:lnSpc>
            <a:spcBef>
              <a:spcPct val="0"/>
            </a:spcBef>
            <a:spcAft>
              <a:spcPct val="35000"/>
            </a:spcAft>
            <a:buFont typeface="Times New Roman" panose="02020603050405020304" pitchFamily="18" charset="0"/>
            <a:buNone/>
          </a:pPr>
          <a:r>
            <a:rPr lang="bs-Latn-BA" sz="1200" b="1" u="none" kern="1200">
              <a:latin typeface="Cambria"/>
              <a:ea typeface="+mn-ea"/>
              <a:cs typeface="+mn-cs"/>
            </a:rPr>
            <a:t>Srednjeročni cilj 3.</a:t>
          </a:r>
        </a:p>
        <a:p>
          <a:pPr lvl="0" algn="ctr" defTabSz="400050">
            <a:lnSpc>
              <a:spcPct val="90000"/>
            </a:lnSpc>
            <a:spcBef>
              <a:spcPct val="0"/>
            </a:spcBef>
            <a:spcAft>
              <a:spcPct val="35000"/>
            </a:spcAft>
            <a:buFont typeface="Times New Roman" panose="02020603050405020304" pitchFamily="18" charset="0"/>
            <a:buNone/>
          </a:pPr>
          <a:r>
            <a:rPr lang="bs-Latn-BA" sz="1200" b="0" u="none" kern="1200">
              <a:latin typeface="Cambria"/>
              <a:ea typeface="+mn-ea"/>
              <a:cs typeface="+mn-cs"/>
            </a:rPr>
            <a:t>Prati se stanje i sarađuje sa drugim akterima na unapređenju stanja ravnopravnosti spolova</a:t>
          </a:r>
          <a:endParaRPr lang="en-GB" sz="1200" b="0" u="none" kern="1200">
            <a:latin typeface="Cambria"/>
            <a:ea typeface="+mn-ea"/>
            <a:cs typeface="+mn-cs"/>
          </a:endParaRPr>
        </a:p>
      </dsp:txBody>
      <dsp:txXfrm>
        <a:off x="3843704" y="0"/>
        <a:ext cx="1885621" cy="1341882"/>
      </dsp:txXfrm>
    </dsp:sp>
    <dsp:sp modelId="{C01DE590-6A8A-4527-B96E-6497372523A9}">
      <dsp:nvSpPr>
        <dsp:cNvPr id="0" name=""/>
        <dsp:cNvSpPr/>
      </dsp:nvSpPr>
      <dsp:spPr>
        <a:xfrm>
          <a:off x="4032266" y="1342264"/>
          <a:ext cx="1508497" cy="878753"/>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5240" rIns="20320" bIns="15240" numCol="1" spcCol="1270" anchor="ctr" anchorCtr="0">
          <a:noAutofit/>
        </a:bodyPr>
        <a:lstStyle/>
        <a:p>
          <a:pPr lvl="0" algn="ctr" defTabSz="355600">
            <a:lnSpc>
              <a:spcPct val="90000"/>
            </a:lnSpc>
            <a:spcBef>
              <a:spcPct val="0"/>
            </a:spcBef>
            <a:spcAft>
              <a:spcPct val="35000"/>
            </a:spcAft>
            <a:buFont typeface="Times New Roman" panose="02020603050405020304" pitchFamily="18" charset="0"/>
            <a:buNone/>
          </a:pPr>
          <a:r>
            <a:rPr lang="en-GB" sz="800" b="0" u="none" kern="1200">
              <a:ln/>
              <a:latin typeface="Cambria"/>
              <a:ea typeface="+mn-ea"/>
              <a:cs typeface="+mn-cs"/>
            </a:rPr>
            <a:t>3.1. Kanton doprinosi promociji ravnopravnost spolova</a:t>
          </a:r>
        </a:p>
      </dsp:txBody>
      <dsp:txXfrm>
        <a:off x="4058004" y="1368002"/>
        <a:ext cx="1457021" cy="827277"/>
      </dsp:txXfrm>
    </dsp:sp>
    <dsp:sp modelId="{08B45FD9-1755-4A74-B46B-19EE017DF072}">
      <dsp:nvSpPr>
        <dsp:cNvPr id="0" name=""/>
        <dsp:cNvSpPr/>
      </dsp:nvSpPr>
      <dsp:spPr>
        <a:xfrm>
          <a:off x="4032266" y="2356210"/>
          <a:ext cx="1508497" cy="878753"/>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5240" rIns="20320" bIns="15240" numCol="1" spcCol="1270" anchor="ctr" anchorCtr="0">
          <a:noAutofit/>
        </a:bodyPr>
        <a:lstStyle/>
        <a:p>
          <a:pPr lvl="0" algn="ctr" defTabSz="355600">
            <a:lnSpc>
              <a:spcPct val="90000"/>
            </a:lnSpc>
            <a:spcBef>
              <a:spcPct val="0"/>
            </a:spcBef>
            <a:spcAft>
              <a:spcPct val="35000"/>
            </a:spcAft>
            <a:buNone/>
          </a:pPr>
          <a:r>
            <a:rPr lang="en-GB" sz="800" b="0" u="none" kern="1200">
              <a:ln/>
              <a:latin typeface="Cambria"/>
              <a:ea typeface="+mn-ea"/>
              <a:cs typeface="+mn-cs"/>
            </a:rPr>
            <a:t>3.2. Redovno se prati stanje ravnopravnosti spolova na području</a:t>
          </a:r>
        </a:p>
      </dsp:txBody>
      <dsp:txXfrm>
        <a:off x="4058004" y="2381948"/>
        <a:ext cx="1457021" cy="827277"/>
      </dsp:txXfrm>
    </dsp:sp>
    <dsp:sp modelId="{85BABF7C-9F66-48CA-919E-614DC241976D}">
      <dsp:nvSpPr>
        <dsp:cNvPr id="0" name=""/>
        <dsp:cNvSpPr/>
      </dsp:nvSpPr>
      <dsp:spPr>
        <a:xfrm>
          <a:off x="4032266" y="3370157"/>
          <a:ext cx="1508497" cy="878753"/>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5240" rIns="20320" bIns="15240" numCol="1" spcCol="1270" anchor="ctr" anchorCtr="0">
          <a:noAutofit/>
        </a:bodyPr>
        <a:lstStyle/>
        <a:p>
          <a:pPr lvl="0" algn="ctr" defTabSz="355600">
            <a:lnSpc>
              <a:spcPct val="90000"/>
            </a:lnSpc>
            <a:spcBef>
              <a:spcPct val="0"/>
            </a:spcBef>
            <a:spcAft>
              <a:spcPct val="35000"/>
            </a:spcAft>
            <a:buNone/>
          </a:pPr>
          <a:r>
            <a:rPr lang="en-GB" sz="800" b="0" u="none" kern="1200">
              <a:ln/>
              <a:latin typeface="Cambria"/>
              <a:ea typeface="+mn-ea"/>
              <a:cs typeface="+mn-cs"/>
            </a:rPr>
            <a:t>3.3. Civilno društvo učestvuje u definiranju prioriteta za djelovanje u oblasti ravnopravnosti spolova</a:t>
          </a:r>
        </a:p>
      </dsp:txBody>
      <dsp:txXfrm>
        <a:off x="4058004" y="3395895"/>
        <a:ext cx="1457021" cy="827277"/>
      </dsp:txXfrm>
    </dsp:sp>
  </dsp:spTree>
</dsp:drawing>
</file>

<file path=word/diagrams/layout1.xml><?xml version="1.0" encoding="utf-8"?>
<dgm:layoutDef xmlns:dgm="http://schemas.openxmlformats.org/drawingml/2006/diagram" xmlns:a="http://schemas.openxmlformats.org/drawingml/2006/main" uniqueId="urn:microsoft.com/office/officeart/2005/8/layout/lProcess2">
  <dgm:title val=""/>
  <dgm:desc val=""/>
  <dgm:catLst>
    <dgm:cat type="list" pri="10000"/>
    <dgm:cat type="relationship" pri="13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33" srcId="3" destId="31" srcOrd="0" destOrd="0"/>
        <dgm:cxn modelId="34" srcId="3" destId="32" srcOrd="0" destOrd="0"/>
      </dgm:cxnLst>
      <dgm:bg/>
      <dgm:whole/>
    </dgm:dataModel>
  </dgm:sampData>
  <dgm:styleData useDef="1">
    <dgm:dataModel>
      <dgm:ptLst/>
      <dgm:bg/>
      <dgm:whole/>
    </dgm:dataModel>
  </dgm:styleData>
  <dgm:clrData useDef="1">
    <dgm:dataModel>
      <dgm:ptLst/>
      <dgm:bg/>
      <dgm:whole/>
    </dgm:dataModel>
  </dgm:clrData>
  <dgm:layoutNode name="theList">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forName="aSpace" refType="w" fact="0.075"/>
      <dgm:constr type="h" for="des" forName="aSpace2" refType="h" fact="0.1"/>
      <dgm:constr type="primFontSz" for="des" forName="textNode" op="equ"/>
      <dgm:constr type="primFontSz" for="des" forName="childNode" op="equ"/>
    </dgm:constrLst>
    <dgm:ruleLst/>
    <dgm:forEach name="aNodeForEach" axis="ch" ptType="node">
      <dgm:layoutNode name="compNode">
        <dgm:alg type="composite"/>
        <dgm:shape xmlns:r="http://schemas.openxmlformats.org/officeDocument/2006/relationships" r:blip="">
          <dgm:adjLst/>
        </dgm:shape>
        <dgm:presOf/>
        <dgm:constrLst>
          <dgm:constr type="w" for="ch" forName="aNode" refType="w"/>
          <dgm:constr type="h" for="ch" forName="aNode" refType="h"/>
          <dgm:constr type="w" for="ch" forName="textNode" refType="w"/>
          <dgm:constr type="h" for="ch" forName="textNode" refType="h" fact="0.3"/>
          <dgm:constr type="ctrX" for="ch" forName="textNode" refType="w" fact="0.5"/>
          <dgm:constr type="w" for="ch" forName="compChildNode" refType="w" fact="0.8"/>
          <dgm:constr type="h" for="ch" forName="compChildNode" refType="h" fact="0.65"/>
          <dgm:constr type="t" for="ch" forName="compChildNode" refType="h" fact="0.3"/>
          <dgm:constr type="ctrX" for="ch" forName="compChildNode" refType="w" fact="0.5"/>
        </dgm:constrLst>
        <dgm:ruleLst/>
        <dgm:layoutNode name="aNode" styleLbl="bgShp">
          <dgm:alg type="sp"/>
          <dgm:shape xmlns:r="http://schemas.openxmlformats.org/officeDocument/2006/relationships" type="roundRect" r:blip="">
            <dgm:adjLst>
              <dgm:adj idx="1" val="0.1"/>
            </dgm:adjLst>
          </dgm:shape>
          <dgm:presOf axis="self"/>
          <dgm:constrLst/>
          <dgm:ruleLst/>
        </dgm:layoutNode>
        <dgm:layoutNode name="textNode" styleLbl="bgShp">
          <dgm:alg type="tx"/>
          <dgm:shape xmlns:r="http://schemas.openxmlformats.org/officeDocument/2006/relationships" type="rect" r:blip="" hideGeom="1">
            <dgm:adjLst>
              <dgm:adj idx="1" val="0.1"/>
            </dgm:adjLst>
          </dgm:shape>
          <dgm:presOf axis="self"/>
          <dgm:constrLst>
            <dgm:constr type="primFontSz" val="65"/>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compChildNode">
          <dgm:alg type="composite"/>
          <dgm:shape xmlns:r="http://schemas.openxmlformats.org/officeDocument/2006/relationships" r:blip="">
            <dgm:adjLst/>
          </dgm:shape>
          <dgm:presOf/>
          <dgm:constrLst>
            <dgm:constr type="w" for="des" forName="childNode" refType="w"/>
            <dgm:constr type="h" for="des" forName="childNode" refType="h"/>
          </dgm:constrLst>
          <dgm:ruleLst/>
          <dgm:layoutNode name="theInnerList">
            <dgm:alg type="lin">
              <dgm:param type="linDir" val="fromT"/>
            </dgm:alg>
            <dgm:shape xmlns:r="http://schemas.openxmlformats.org/officeDocument/2006/relationships" r:blip="">
              <dgm:adjLst/>
            </dgm:shape>
            <dgm:presOf/>
            <dgm:constrLst/>
            <dgm:ruleLst/>
            <dgm:forEach name="childNodeForEach" axis="ch" ptType="node">
              <dgm:layoutNode name="child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tMarg" refType="primFontSz" fact="0.15"/>
                  <dgm:constr type="bMarg" refType="primFontSz" fact="0.15"/>
                  <dgm:constr type="lMarg" refType="primFontSz" fact="0.2"/>
                  <dgm:constr type="rMarg" refType="primFontSz" fact="0.2"/>
                </dgm:constrLst>
                <dgm:ruleLst>
                  <dgm:rule type="primFontSz" val="5" fact="NaN" max="NaN"/>
                </dgm:ruleLst>
              </dgm:layoutNode>
              <dgm:choose name="Name3">
                <dgm:if name="Name4" axis="self" ptType="node" func="revPos" op="equ" val="1"/>
                <dgm:else name="Name5">
                  <dgm:layoutNode name="aSpace2">
                    <dgm:alg type="sp"/>
                    <dgm:shape xmlns:r="http://schemas.openxmlformats.org/officeDocument/2006/relationships" r:blip="">
                      <dgm:adjLst/>
                    </dgm:shape>
                    <dgm:presOf/>
                    <dgm:constrLst/>
                    <dgm:ruleLst/>
                  </dgm:layoutNode>
                </dgm:else>
              </dgm:choose>
            </dgm:forEach>
          </dgm:layoutNode>
        </dgm:layoutNode>
      </dgm:layoutNode>
      <dgm:choose name="Name6">
        <dgm:if name="Name7" axis="self" ptType="node" func="revPos" op="equ" val="1"/>
        <dgm:else name="Name8">
          <dgm:layoutNode name="aSpace">
            <dgm:alg type="sp"/>
            <dgm:shape xmlns:r="http://schemas.openxmlformats.org/officeDocument/2006/relationships" r:blip="">
              <dgm:adjLst/>
            </dgm:shape>
            <dgm:presOf/>
            <dgm:constrLst/>
            <dgm:ruleLst/>
          </dgm:layoutNode>
        </dgm:else>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bSqxcrXHxRIDU7FjoR0INJob2g==">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</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553CCB0-863F-46A6-BE04-97FAF077C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7400</Words>
  <Characters>42180</Characters>
  <Application>Microsoft Office Word</Application>
  <DocSecurity>0</DocSecurity>
  <Lines>351</Lines>
  <Paragraphs>98</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49482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MRSPP_10.25</cp:lastModifiedBy>
  <cp:revision>2</cp:revision>
  <cp:lastPrinted>2025-04-11T05:54:00Z</cp:lastPrinted>
  <dcterms:created xsi:type="dcterms:W3CDTF">2025-11-17T08:50:00Z</dcterms:created>
  <dcterms:modified xsi:type="dcterms:W3CDTF">2025-11-17T08:50:00Z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2057-12.2.0.13489</vt:lpwstr>
  </property>
  <property fmtid="{D5CDD505-2E9C-101B-9397-08002B2CF9AE}" pid="3" name="ICV">
    <vt:lpwstr>87CC816217324AC69FEEC0D2A9F05F17_11</vt:lpwstr>
  </property>
</Properties>
</file>