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D4FAA" w14:textId="43531238" w:rsidR="006A3500" w:rsidRPr="000C5CA4" w:rsidRDefault="00CA1F70" w:rsidP="002451F7">
      <w:pPr>
        <w:pStyle w:val="BodyText"/>
        <w:spacing w:before="240"/>
        <w:rPr>
          <w:sz w:val="22"/>
          <w:szCs w:val="20"/>
        </w:rPr>
      </w:pPr>
      <w:bookmarkStart w:id="0" w:name="_GoBack"/>
      <w:bookmarkEnd w:id="0"/>
      <w:r w:rsidRPr="000C5CA4">
        <w:rPr>
          <w:sz w:val="22"/>
          <w:szCs w:val="20"/>
        </w:rPr>
        <w:t>PRIJEDLOG</w:t>
      </w:r>
    </w:p>
    <w:p w14:paraId="70C56C93" w14:textId="77777777" w:rsidR="007D2803" w:rsidRPr="000C5CA4" w:rsidRDefault="007D2803" w:rsidP="00672AC4">
      <w:pPr>
        <w:pStyle w:val="BodyText"/>
        <w:jc w:val="center"/>
        <w:rPr>
          <w:sz w:val="22"/>
          <w:szCs w:val="20"/>
        </w:rPr>
      </w:pPr>
    </w:p>
    <w:p w14:paraId="2D202D00" w14:textId="77777777" w:rsidR="007D2803" w:rsidRPr="000C5CA4" w:rsidRDefault="007D2803" w:rsidP="00672AC4">
      <w:pPr>
        <w:pStyle w:val="BodyText"/>
        <w:jc w:val="center"/>
        <w:rPr>
          <w:sz w:val="22"/>
          <w:szCs w:val="20"/>
        </w:rPr>
      </w:pPr>
    </w:p>
    <w:p w14:paraId="466B2966" w14:textId="77777777" w:rsidR="007D2803" w:rsidRPr="000C5CA4" w:rsidRDefault="007D2803" w:rsidP="00672AC4">
      <w:pPr>
        <w:pStyle w:val="BodyText"/>
        <w:jc w:val="center"/>
        <w:rPr>
          <w:sz w:val="22"/>
          <w:szCs w:val="20"/>
        </w:rPr>
      </w:pPr>
    </w:p>
    <w:p w14:paraId="72DD70DC" w14:textId="77777777" w:rsidR="003E4FA1" w:rsidRPr="000C5CA4" w:rsidRDefault="003E4FA1" w:rsidP="00672AC4">
      <w:pPr>
        <w:pStyle w:val="BodyText"/>
        <w:jc w:val="center"/>
        <w:rPr>
          <w:sz w:val="22"/>
          <w:szCs w:val="20"/>
        </w:rPr>
      </w:pPr>
    </w:p>
    <w:p w14:paraId="3717D98F" w14:textId="2DDDC8CD" w:rsidR="001F6F2F" w:rsidRPr="000C5CA4" w:rsidRDefault="001F6F2F" w:rsidP="00672AC4">
      <w:pPr>
        <w:spacing w:line="276" w:lineRule="auto"/>
        <w:jc w:val="center"/>
        <w:rPr>
          <w:sz w:val="22"/>
          <w:szCs w:val="20"/>
        </w:rPr>
      </w:pPr>
    </w:p>
    <w:p w14:paraId="290211DA" w14:textId="77777777" w:rsidR="001F6F2F" w:rsidRPr="000C5CA4" w:rsidRDefault="001F6F2F" w:rsidP="00672AC4">
      <w:pPr>
        <w:spacing w:line="276" w:lineRule="auto"/>
        <w:jc w:val="center"/>
        <w:rPr>
          <w:sz w:val="22"/>
          <w:szCs w:val="20"/>
        </w:rPr>
      </w:pPr>
    </w:p>
    <w:p w14:paraId="6FB26A6B" w14:textId="0F385CBE" w:rsidR="00A75CCF" w:rsidRDefault="006567BE" w:rsidP="00672AC4">
      <w:pPr>
        <w:spacing w:line="276" w:lineRule="auto"/>
        <w:jc w:val="center"/>
        <w:rPr>
          <w:sz w:val="22"/>
          <w:szCs w:val="20"/>
        </w:rPr>
      </w:pPr>
      <w:r w:rsidRPr="000C5CA4">
        <w:rPr>
          <w:noProof/>
          <w:sz w:val="22"/>
          <w:szCs w:val="20"/>
          <w:lang w:eastAsia="bs-Latn-BA"/>
        </w:rPr>
        <w:drawing>
          <wp:inline distT="0" distB="0" distL="0" distR="0" wp14:anchorId="004A9475" wp14:editId="13C2169C">
            <wp:extent cx="3394710" cy="211727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go-tk-szz.jpg"/>
                    <pic:cNvPicPr/>
                  </pic:nvPicPr>
                  <pic:blipFill>
                    <a:blip r:embed="rId9">
                      <a:extLst>
                        <a:ext uri="{28A0092B-C50C-407E-A947-70E740481C1C}">
                          <a14:useLocalDpi xmlns:a14="http://schemas.microsoft.com/office/drawing/2010/main" val="0"/>
                        </a:ext>
                      </a:extLst>
                    </a:blip>
                    <a:stretch>
                      <a:fillRect/>
                    </a:stretch>
                  </pic:blipFill>
                  <pic:spPr>
                    <a:xfrm>
                      <a:off x="0" y="0"/>
                      <a:ext cx="3397142" cy="2118793"/>
                    </a:xfrm>
                    <a:prstGeom prst="rect">
                      <a:avLst/>
                    </a:prstGeom>
                  </pic:spPr>
                </pic:pic>
              </a:graphicData>
            </a:graphic>
          </wp:inline>
        </w:drawing>
      </w:r>
    </w:p>
    <w:p w14:paraId="3A9D863D" w14:textId="77777777" w:rsidR="00855A3A" w:rsidRPr="000C5CA4" w:rsidRDefault="00855A3A" w:rsidP="00672AC4">
      <w:pPr>
        <w:spacing w:line="276" w:lineRule="auto"/>
        <w:jc w:val="center"/>
        <w:rPr>
          <w:sz w:val="22"/>
          <w:szCs w:val="20"/>
        </w:rPr>
      </w:pPr>
    </w:p>
    <w:p w14:paraId="2AA97E1D" w14:textId="77777777" w:rsidR="00A75CCF" w:rsidRPr="000C5CA4" w:rsidRDefault="00A75CCF" w:rsidP="00672AC4">
      <w:pPr>
        <w:spacing w:line="276" w:lineRule="auto"/>
        <w:jc w:val="center"/>
        <w:rPr>
          <w:sz w:val="22"/>
          <w:szCs w:val="20"/>
        </w:rPr>
      </w:pPr>
    </w:p>
    <w:p w14:paraId="4357E019" w14:textId="77777777" w:rsidR="00A75CCF" w:rsidRPr="000C5CA4" w:rsidRDefault="00A75CCF" w:rsidP="00672AC4">
      <w:pPr>
        <w:spacing w:line="276" w:lineRule="auto"/>
        <w:jc w:val="center"/>
        <w:rPr>
          <w:sz w:val="22"/>
          <w:szCs w:val="20"/>
        </w:rPr>
      </w:pPr>
    </w:p>
    <w:p w14:paraId="1D3CF673" w14:textId="77777777" w:rsidR="00A75CCF" w:rsidRPr="000C5CA4" w:rsidRDefault="00A75CCF" w:rsidP="00672AC4">
      <w:pPr>
        <w:spacing w:line="276" w:lineRule="auto"/>
        <w:jc w:val="center"/>
        <w:rPr>
          <w:b/>
          <w:sz w:val="22"/>
          <w:szCs w:val="20"/>
        </w:rPr>
      </w:pPr>
    </w:p>
    <w:p w14:paraId="268A16B9" w14:textId="1F49B8FA" w:rsidR="002014E3" w:rsidRPr="000C5CA4" w:rsidRDefault="002F06F6" w:rsidP="00672AC4">
      <w:pPr>
        <w:spacing w:line="276" w:lineRule="auto"/>
        <w:jc w:val="center"/>
        <w:rPr>
          <w:b/>
          <w:sz w:val="22"/>
          <w:szCs w:val="20"/>
          <w:u w:color="92D050"/>
        </w:rPr>
      </w:pPr>
      <w:r w:rsidRPr="000C5CA4">
        <w:rPr>
          <w:b/>
          <w:sz w:val="22"/>
          <w:szCs w:val="20"/>
        </w:rPr>
        <w:t>GENDER</w:t>
      </w:r>
      <w:r w:rsidR="00FA0DF7" w:rsidRPr="000C5CA4">
        <w:rPr>
          <w:b/>
          <w:sz w:val="22"/>
          <w:szCs w:val="20"/>
        </w:rPr>
        <w:t xml:space="preserve"> </w:t>
      </w:r>
      <w:r w:rsidRPr="000C5CA4">
        <w:rPr>
          <w:b/>
          <w:sz w:val="22"/>
          <w:szCs w:val="20"/>
        </w:rPr>
        <w:t>AKCIONI</w:t>
      </w:r>
      <w:r w:rsidR="00FA0DF7" w:rsidRPr="000C5CA4">
        <w:rPr>
          <w:b/>
          <w:spacing w:val="-11"/>
          <w:sz w:val="22"/>
          <w:szCs w:val="20"/>
        </w:rPr>
        <w:t xml:space="preserve"> </w:t>
      </w:r>
      <w:r w:rsidRPr="000C5CA4">
        <w:rPr>
          <w:b/>
          <w:sz w:val="22"/>
          <w:szCs w:val="20"/>
        </w:rPr>
        <w:t>PLAN</w:t>
      </w:r>
      <w:r w:rsidR="00FA0DF7" w:rsidRPr="000C5CA4">
        <w:rPr>
          <w:b/>
          <w:sz w:val="22"/>
          <w:szCs w:val="20"/>
        </w:rPr>
        <w:t xml:space="preserve"> </w:t>
      </w:r>
      <w:r w:rsidR="006567BE" w:rsidRPr="000C5CA4">
        <w:rPr>
          <w:b/>
          <w:sz w:val="22"/>
          <w:szCs w:val="20"/>
          <w:u w:color="92D050"/>
        </w:rPr>
        <w:t>TUZLANSKOG KANTONA</w:t>
      </w:r>
    </w:p>
    <w:p w14:paraId="2D309DBE" w14:textId="71E84D66" w:rsidR="006A3500" w:rsidRPr="000C5CA4" w:rsidRDefault="00E725B0" w:rsidP="00672AC4">
      <w:pPr>
        <w:spacing w:line="276" w:lineRule="auto"/>
        <w:jc w:val="center"/>
        <w:rPr>
          <w:b/>
          <w:sz w:val="22"/>
          <w:szCs w:val="20"/>
        </w:rPr>
      </w:pPr>
      <w:r w:rsidRPr="000C5CA4">
        <w:rPr>
          <w:b/>
          <w:sz w:val="22"/>
          <w:szCs w:val="20"/>
        </w:rPr>
        <w:t>ZA</w:t>
      </w:r>
      <w:r w:rsidR="00FA0DF7" w:rsidRPr="000C5CA4">
        <w:rPr>
          <w:b/>
          <w:sz w:val="22"/>
          <w:szCs w:val="20"/>
        </w:rPr>
        <w:t xml:space="preserve"> </w:t>
      </w:r>
      <w:r w:rsidRPr="000C5CA4">
        <w:rPr>
          <w:b/>
          <w:sz w:val="22"/>
          <w:szCs w:val="20"/>
        </w:rPr>
        <w:t>PERIOD</w:t>
      </w:r>
      <w:r w:rsidR="00FA0DF7" w:rsidRPr="000C5CA4">
        <w:rPr>
          <w:b/>
          <w:sz w:val="22"/>
          <w:szCs w:val="20"/>
        </w:rPr>
        <w:t xml:space="preserve"> </w:t>
      </w:r>
      <w:r w:rsidRPr="000C5CA4">
        <w:rPr>
          <w:b/>
          <w:sz w:val="22"/>
          <w:szCs w:val="20"/>
        </w:rPr>
        <w:t>OD</w:t>
      </w:r>
      <w:r w:rsidR="00FA0DF7" w:rsidRPr="000C5CA4">
        <w:rPr>
          <w:b/>
          <w:sz w:val="22"/>
          <w:szCs w:val="20"/>
        </w:rPr>
        <w:t xml:space="preserve"> </w:t>
      </w:r>
      <w:r w:rsidR="006567BE" w:rsidRPr="000C5CA4">
        <w:rPr>
          <w:b/>
          <w:sz w:val="22"/>
          <w:szCs w:val="20"/>
        </w:rPr>
        <w:t>202</w:t>
      </w:r>
      <w:r w:rsidR="00ED35CD" w:rsidRPr="000C5CA4">
        <w:rPr>
          <w:b/>
          <w:sz w:val="22"/>
          <w:szCs w:val="20"/>
        </w:rPr>
        <w:t>5</w:t>
      </w:r>
      <w:r w:rsidR="00915B54" w:rsidRPr="000C5CA4">
        <w:rPr>
          <w:b/>
          <w:sz w:val="22"/>
          <w:szCs w:val="20"/>
        </w:rPr>
        <w:t>.</w:t>
      </w:r>
      <w:r w:rsidR="00FA0DF7" w:rsidRPr="000C5CA4">
        <w:rPr>
          <w:b/>
          <w:sz w:val="22"/>
          <w:szCs w:val="20"/>
        </w:rPr>
        <w:t xml:space="preserve"> </w:t>
      </w:r>
      <w:r w:rsidR="00915B54" w:rsidRPr="000C5CA4">
        <w:rPr>
          <w:b/>
          <w:sz w:val="22"/>
          <w:szCs w:val="20"/>
        </w:rPr>
        <w:t>DO</w:t>
      </w:r>
      <w:r w:rsidR="00FA0DF7" w:rsidRPr="000C5CA4">
        <w:rPr>
          <w:b/>
          <w:sz w:val="22"/>
          <w:szCs w:val="20"/>
        </w:rPr>
        <w:t xml:space="preserve"> </w:t>
      </w:r>
      <w:r w:rsidR="00915B54" w:rsidRPr="000C5CA4">
        <w:rPr>
          <w:b/>
          <w:sz w:val="22"/>
          <w:szCs w:val="20"/>
        </w:rPr>
        <w:t>202</w:t>
      </w:r>
      <w:r w:rsidR="00ED35CD" w:rsidRPr="000C5CA4">
        <w:rPr>
          <w:b/>
          <w:sz w:val="22"/>
          <w:szCs w:val="20"/>
        </w:rPr>
        <w:t>8</w:t>
      </w:r>
      <w:r w:rsidR="00915B54" w:rsidRPr="000C5CA4">
        <w:rPr>
          <w:b/>
          <w:sz w:val="22"/>
          <w:szCs w:val="20"/>
        </w:rPr>
        <w:t>.</w:t>
      </w:r>
      <w:r w:rsidR="00FA0DF7" w:rsidRPr="000C5CA4">
        <w:rPr>
          <w:b/>
          <w:sz w:val="22"/>
          <w:szCs w:val="20"/>
        </w:rPr>
        <w:t xml:space="preserve"> </w:t>
      </w:r>
      <w:r w:rsidR="00915B54" w:rsidRPr="000C5CA4">
        <w:rPr>
          <w:b/>
          <w:sz w:val="22"/>
          <w:szCs w:val="20"/>
        </w:rPr>
        <w:t>GODINE</w:t>
      </w:r>
    </w:p>
    <w:p w14:paraId="3D2049CE" w14:textId="77777777" w:rsidR="006A3500" w:rsidRPr="000C5CA4" w:rsidRDefault="006A3500" w:rsidP="00672AC4">
      <w:pPr>
        <w:pStyle w:val="BodyText"/>
        <w:jc w:val="center"/>
        <w:rPr>
          <w:b/>
          <w:sz w:val="22"/>
          <w:szCs w:val="20"/>
        </w:rPr>
      </w:pPr>
    </w:p>
    <w:p w14:paraId="1ABC3E21" w14:textId="77777777" w:rsidR="006A3500" w:rsidRPr="000C5CA4" w:rsidRDefault="006A3500" w:rsidP="00672AC4">
      <w:pPr>
        <w:pStyle w:val="BodyText"/>
        <w:jc w:val="center"/>
        <w:rPr>
          <w:b/>
          <w:sz w:val="22"/>
          <w:szCs w:val="20"/>
        </w:rPr>
      </w:pPr>
    </w:p>
    <w:p w14:paraId="42A826BE" w14:textId="77777777" w:rsidR="006A3500" w:rsidRPr="000C5CA4" w:rsidRDefault="006A3500" w:rsidP="00672AC4">
      <w:pPr>
        <w:pStyle w:val="BodyText"/>
        <w:jc w:val="center"/>
        <w:rPr>
          <w:sz w:val="22"/>
          <w:szCs w:val="20"/>
        </w:rPr>
      </w:pPr>
    </w:p>
    <w:p w14:paraId="365BEF68" w14:textId="77777777" w:rsidR="00240C0D" w:rsidRPr="000C5CA4" w:rsidRDefault="00240C0D" w:rsidP="00672AC4">
      <w:pPr>
        <w:pStyle w:val="BodyText"/>
        <w:jc w:val="center"/>
        <w:rPr>
          <w:sz w:val="22"/>
          <w:szCs w:val="20"/>
        </w:rPr>
      </w:pPr>
    </w:p>
    <w:p w14:paraId="7FFC2ADD" w14:textId="77777777" w:rsidR="00240C0D" w:rsidRPr="000C5CA4" w:rsidRDefault="00240C0D" w:rsidP="00672AC4">
      <w:pPr>
        <w:pStyle w:val="BodyText"/>
        <w:jc w:val="center"/>
        <w:rPr>
          <w:sz w:val="22"/>
          <w:szCs w:val="20"/>
        </w:rPr>
      </w:pPr>
    </w:p>
    <w:p w14:paraId="18BF54EA" w14:textId="77777777" w:rsidR="007D2803" w:rsidRPr="000C5CA4" w:rsidRDefault="007D2803" w:rsidP="00672AC4">
      <w:pPr>
        <w:pStyle w:val="BodyText"/>
        <w:jc w:val="center"/>
        <w:rPr>
          <w:sz w:val="22"/>
          <w:szCs w:val="20"/>
        </w:rPr>
      </w:pPr>
    </w:p>
    <w:p w14:paraId="7F295C43" w14:textId="77777777" w:rsidR="007D2803" w:rsidRPr="000C5CA4" w:rsidRDefault="007D2803" w:rsidP="00672AC4">
      <w:pPr>
        <w:pStyle w:val="BodyText"/>
        <w:jc w:val="center"/>
        <w:rPr>
          <w:sz w:val="22"/>
          <w:szCs w:val="20"/>
        </w:rPr>
      </w:pPr>
    </w:p>
    <w:p w14:paraId="60BE2E0C" w14:textId="77777777" w:rsidR="005C4D45" w:rsidRPr="000C5CA4" w:rsidRDefault="005C4D45" w:rsidP="00672AC4">
      <w:pPr>
        <w:pStyle w:val="BodyText"/>
        <w:jc w:val="center"/>
        <w:rPr>
          <w:sz w:val="22"/>
          <w:szCs w:val="20"/>
        </w:rPr>
      </w:pPr>
    </w:p>
    <w:p w14:paraId="7AF95A19" w14:textId="77777777" w:rsidR="005C4D45" w:rsidRPr="000C5CA4" w:rsidRDefault="005C4D45" w:rsidP="00672AC4">
      <w:pPr>
        <w:pStyle w:val="BodyText"/>
        <w:jc w:val="center"/>
        <w:rPr>
          <w:sz w:val="22"/>
          <w:szCs w:val="20"/>
        </w:rPr>
      </w:pPr>
    </w:p>
    <w:p w14:paraId="4B0265D2" w14:textId="77777777" w:rsidR="005C4D45" w:rsidRPr="000C5CA4" w:rsidRDefault="005C4D45" w:rsidP="00672AC4">
      <w:pPr>
        <w:pStyle w:val="BodyText"/>
        <w:jc w:val="center"/>
        <w:rPr>
          <w:sz w:val="22"/>
          <w:szCs w:val="20"/>
        </w:rPr>
      </w:pPr>
    </w:p>
    <w:p w14:paraId="36090321" w14:textId="77777777" w:rsidR="005C4D45" w:rsidRPr="000C5CA4" w:rsidRDefault="005C4D45" w:rsidP="00672AC4">
      <w:pPr>
        <w:pStyle w:val="BodyText"/>
        <w:jc w:val="center"/>
        <w:rPr>
          <w:sz w:val="22"/>
          <w:szCs w:val="20"/>
        </w:rPr>
      </w:pPr>
    </w:p>
    <w:p w14:paraId="6090656C" w14:textId="77777777" w:rsidR="00240C0D" w:rsidRPr="000C5CA4" w:rsidRDefault="00240C0D" w:rsidP="00672AC4">
      <w:pPr>
        <w:pStyle w:val="BodyText"/>
        <w:jc w:val="center"/>
        <w:rPr>
          <w:sz w:val="22"/>
          <w:szCs w:val="20"/>
        </w:rPr>
      </w:pPr>
    </w:p>
    <w:p w14:paraId="1E8FDD11" w14:textId="77777777" w:rsidR="00240C0D" w:rsidRPr="000C5CA4" w:rsidRDefault="00240C0D" w:rsidP="00672AC4">
      <w:pPr>
        <w:pStyle w:val="BodyText"/>
        <w:jc w:val="center"/>
        <w:rPr>
          <w:sz w:val="22"/>
          <w:szCs w:val="20"/>
        </w:rPr>
      </w:pPr>
    </w:p>
    <w:p w14:paraId="1020A02F" w14:textId="77777777" w:rsidR="00240C0D" w:rsidRPr="000C5CA4" w:rsidRDefault="00240C0D" w:rsidP="00672AC4">
      <w:pPr>
        <w:pStyle w:val="BodyText"/>
        <w:jc w:val="center"/>
        <w:rPr>
          <w:sz w:val="22"/>
          <w:szCs w:val="20"/>
        </w:rPr>
      </w:pPr>
    </w:p>
    <w:p w14:paraId="4EADD7BB" w14:textId="77777777" w:rsidR="00240C0D" w:rsidRPr="000C5CA4" w:rsidRDefault="00240C0D" w:rsidP="00672AC4">
      <w:pPr>
        <w:pStyle w:val="BodyText"/>
        <w:jc w:val="center"/>
        <w:rPr>
          <w:sz w:val="22"/>
          <w:szCs w:val="20"/>
        </w:rPr>
      </w:pPr>
    </w:p>
    <w:p w14:paraId="47E32E0D" w14:textId="77777777" w:rsidR="006A3500" w:rsidRPr="000C5CA4" w:rsidRDefault="006A3500" w:rsidP="00672AC4">
      <w:pPr>
        <w:pStyle w:val="BodyText"/>
        <w:jc w:val="center"/>
        <w:rPr>
          <w:sz w:val="22"/>
          <w:szCs w:val="20"/>
        </w:rPr>
      </w:pPr>
    </w:p>
    <w:p w14:paraId="2435C88F" w14:textId="77777777" w:rsidR="00BF4EF4" w:rsidRPr="000C5CA4" w:rsidRDefault="009F5B94" w:rsidP="009F5B94">
      <w:pPr>
        <w:spacing w:line="276" w:lineRule="auto"/>
        <w:rPr>
          <w:sz w:val="22"/>
          <w:szCs w:val="20"/>
          <w:u w:color="92D050"/>
        </w:rPr>
      </w:pPr>
      <w:r w:rsidRPr="000C5CA4">
        <w:rPr>
          <w:sz w:val="22"/>
          <w:szCs w:val="20"/>
          <w:u w:color="92D050"/>
        </w:rPr>
        <w:t xml:space="preserve">                                                       </w:t>
      </w:r>
    </w:p>
    <w:p w14:paraId="4850869E" w14:textId="5D1AF232" w:rsidR="00240C0D" w:rsidRPr="000C5CA4" w:rsidRDefault="00BF4EF4" w:rsidP="009F5B94">
      <w:pPr>
        <w:spacing w:line="276" w:lineRule="auto"/>
        <w:rPr>
          <w:sz w:val="22"/>
        </w:rPr>
      </w:pPr>
      <w:r w:rsidRPr="000C5CA4">
        <w:rPr>
          <w:sz w:val="22"/>
          <w:szCs w:val="20"/>
          <w:u w:color="92D050"/>
        </w:rPr>
        <w:t xml:space="preserve">                                                                  </w:t>
      </w:r>
      <w:r w:rsidR="00ED35CD" w:rsidRPr="000C5CA4">
        <w:rPr>
          <w:sz w:val="22"/>
          <w:szCs w:val="20"/>
          <w:u w:color="92D050"/>
        </w:rPr>
        <w:t>Juni</w:t>
      </w:r>
      <w:r w:rsidR="00FA43B1" w:rsidRPr="000C5CA4">
        <w:rPr>
          <w:sz w:val="22"/>
          <w:szCs w:val="20"/>
          <w:u w:color="92D050"/>
        </w:rPr>
        <w:t>,</w:t>
      </w:r>
      <w:r w:rsidR="006567BE" w:rsidRPr="000C5CA4">
        <w:rPr>
          <w:sz w:val="22"/>
          <w:szCs w:val="20"/>
          <w:u w:color="92D050"/>
        </w:rPr>
        <w:t xml:space="preserve"> </w:t>
      </w:r>
      <w:r w:rsidR="00ED35CD" w:rsidRPr="000C5CA4">
        <w:rPr>
          <w:sz w:val="22"/>
          <w:szCs w:val="20"/>
        </w:rPr>
        <w:t>2025</w:t>
      </w:r>
      <w:r w:rsidR="002F06F6" w:rsidRPr="000C5CA4">
        <w:rPr>
          <w:sz w:val="22"/>
          <w:szCs w:val="20"/>
        </w:rPr>
        <w:t>.</w:t>
      </w:r>
      <w:r w:rsidR="00FA0DF7" w:rsidRPr="000C5CA4">
        <w:rPr>
          <w:sz w:val="22"/>
          <w:szCs w:val="20"/>
        </w:rPr>
        <w:t xml:space="preserve"> </w:t>
      </w:r>
      <w:r w:rsidR="002F06F6" w:rsidRPr="000C5CA4">
        <w:rPr>
          <w:sz w:val="22"/>
          <w:szCs w:val="20"/>
        </w:rPr>
        <w:t>godine</w:t>
      </w:r>
    </w:p>
    <w:p w14:paraId="1A754669" w14:textId="12C9DAAA" w:rsidR="00FA119F" w:rsidRPr="000C5CA4" w:rsidRDefault="00FA119F" w:rsidP="00672AC4">
      <w:pPr>
        <w:spacing w:line="276" w:lineRule="auto"/>
        <w:rPr>
          <w:sz w:val="22"/>
          <w:szCs w:val="20"/>
        </w:rPr>
      </w:pPr>
    </w:p>
    <w:p w14:paraId="71E062DC" w14:textId="0D6CFE36" w:rsidR="00B51070" w:rsidRPr="000C5CA4" w:rsidRDefault="00A75CCF" w:rsidP="00672AC4">
      <w:pPr>
        <w:spacing w:line="276" w:lineRule="auto"/>
        <w:rPr>
          <w:sz w:val="22"/>
          <w:szCs w:val="20"/>
        </w:rPr>
      </w:pPr>
      <w:r w:rsidRPr="000C5CA4">
        <w:rPr>
          <w:sz w:val="22"/>
        </w:rPr>
        <w:br w:type="page"/>
      </w:r>
      <w:r w:rsidR="00B51070" w:rsidRPr="000C5CA4">
        <w:rPr>
          <w:sz w:val="22"/>
          <w:szCs w:val="20"/>
        </w:rPr>
        <w:lastRenderedPageBreak/>
        <w:t xml:space="preserve"> </w:t>
      </w:r>
      <w:r w:rsidR="00DD3E49" w:rsidRPr="000C5CA4">
        <w:rPr>
          <w:sz w:val="22"/>
          <w:szCs w:val="20"/>
        </w:rPr>
        <w:t>Sadržaj</w:t>
      </w:r>
    </w:p>
    <w:p w14:paraId="2961148B" w14:textId="77777777" w:rsidR="001E051E" w:rsidRPr="000C5CA4" w:rsidRDefault="001E051E" w:rsidP="00672AC4">
      <w:pPr>
        <w:spacing w:line="276" w:lineRule="auto"/>
        <w:rPr>
          <w:sz w:val="22"/>
          <w:szCs w:val="20"/>
        </w:rPr>
      </w:pPr>
    </w:p>
    <w:sdt>
      <w:sdtPr>
        <w:rPr>
          <w:sz w:val="22"/>
          <w:szCs w:val="22"/>
        </w:rPr>
        <w:id w:val="1243600015"/>
        <w:docPartObj>
          <w:docPartGallery w:val="Table of Contents"/>
          <w:docPartUnique/>
        </w:docPartObj>
      </w:sdtPr>
      <w:sdtEndPr>
        <w:rPr>
          <w:b w:val="0"/>
          <w:bCs w:val="0"/>
          <w:i/>
          <w:noProof/>
        </w:rPr>
      </w:sdtEndPr>
      <w:sdtContent>
        <w:p w14:paraId="3105126D" w14:textId="232858C2" w:rsidR="00140CE9" w:rsidRPr="000C5CA4" w:rsidRDefault="00361471" w:rsidP="00140CE9">
          <w:pPr>
            <w:pStyle w:val="TOC1"/>
            <w:tabs>
              <w:tab w:val="left" w:pos="480"/>
              <w:tab w:val="right" w:leader="dot" w:pos="9020"/>
            </w:tabs>
            <w:spacing w:before="0"/>
            <w:rPr>
              <w:rFonts w:eastAsiaTheme="minorEastAsia" w:cstheme="minorBidi"/>
              <w:b w:val="0"/>
              <w:bCs w:val="0"/>
              <w:caps w:val="0"/>
              <w:noProof/>
              <w:sz w:val="22"/>
              <w:szCs w:val="22"/>
              <w:lang w:eastAsia="bs-Latn-BA"/>
            </w:rPr>
          </w:pPr>
          <w:r w:rsidRPr="000C5CA4">
            <w:rPr>
              <w:b w:val="0"/>
              <w:i/>
              <w:sz w:val="22"/>
              <w:szCs w:val="22"/>
            </w:rPr>
            <w:fldChar w:fldCharType="begin"/>
          </w:r>
          <w:r w:rsidRPr="000C5CA4">
            <w:rPr>
              <w:b w:val="0"/>
              <w:i/>
              <w:sz w:val="22"/>
              <w:szCs w:val="22"/>
            </w:rPr>
            <w:instrText xml:space="preserve"> TOC \o "1-3" \h \z \u </w:instrText>
          </w:r>
          <w:r w:rsidRPr="000C5CA4">
            <w:rPr>
              <w:b w:val="0"/>
              <w:i/>
              <w:sz w:val="22"/>
              <w:szCs w:val="22"/>
            </w:rPr>
            <w:fldChar w:fldCharType="separate"/>
          </w:r>
          <w:hyperlink w:anchor="_Toc200303199" w:history="1">
            <w:r w:rsidR="00140CE9" w:rsidRPr="000C5CA4">
              <w:rPr>
                <w:rStyle w:val="Hyperlink"/>
                <w:b w:val="0"/>
                <w:noProof/>
                <w:sz w:val="22"/>
                <w:szCs w:val="22"/>
              </w:rPr>
              <w:t>I.</w:t>
            </w:r>
            <w:r w:rsidR="00140CE9" w:rsidRPr="000C5CA4">
              <w:rPr>
                <w:rFonts w:eastAsiaTheme="minorEastAsia" w:cstheme="minorBidi"/>
                <w:b w:val="0"/>
                <w:bCs w:val="0"/>
                <w:caps w:val="0"/>
                <w:noProof/>
                <w:sz w:val="22"/>
                <w:szCs w:val="22"/>
                <w:lang w:eastAsia="bs-Latn-BA"/>
              </w:rPr>
              <w:tab/>
            </w:r>
            <w:r w:rsidR="00140CE9" w:rsidRPr="000C5CA4">
              <w:rPr>
                <w:rStyle w:val="Hyperlink"/>
                <w:b w:val="0"/>
                <w:noProof/>
                <w:sz w:val="22"/>
                <w:szCs w:val="22"/>
              </w:rPr>
              <w:t>Uvod</w:t>
            </w:r>
            <w:r w:rsidR="00140CE9" w:rsidRPr="000C5CA4">
              <w:rPr>
                <w:b w:val="0"/>
                <w:noProof/>
                <w:webHidden/>
                <w:sz w:val="22"/>
                <w:szCs w:val="22"/>
              </w:rPr>
              <w:tab/>
            </w:r>
            <w:r w:rsidR="00140CE9" w:rsidRPr="000C5CA4">
              <w:rPr>
                <w:b w:val="0"/>
                <w:noProof/>
                <w:webHidden/>
                <w:sz w:val="22"/>
                <w:szCs w:val="22"/>
              </w:rPr>
              <w:fldChar w:fldCharType="begin"/>
            </w:r>
            <w:r w:rsidR="00140CE9" w:rsidRPr="000C5CA4">
              <w:rPr>
                <w:b w:val="0"/>
                <w:noProof/>
                <w:webHidden/>
                <w:sz w:val="22"/>
                <w:szCs w:val="22"/>
              </w:rPr>
              <w:instrText xml:space="preserve"> PAGEREF _Toc200303199 \h </w:instrText>
            </w:r>
            <w:r w:rsidR="00140CE9" w:rsidRPr="000C5CA4">
              <w:rPr>
                <w:b w:val="0"/>
                <w:noProof/>
                <w:webHidden/>
                <w:sz w:val="22"/>
                <w:szCs w:val="22"/>
              </w:rPr>
            </w:r>
            <w:r w:rsidR="00140CE9" w:rsidRPr="000C5CA4">
              <w:rPr>
                <w:b w:val="0"/>
                <w:noProof/>
                <w:webHidden/>
                <w:sz w:val="22"/>
                <w:szCs w:val="22"/>
              </w:rPr>
              <w:fldChar w:fldCharType="separate"/>
            </w:r>
            <w:r w:rsidR="002543E7">
              <w:rPr>
                <w:b w:val="0"/>
                <w:noProof/>
                <w:webHidden/>
                <w:sz w:val="22"/>
                <w:szCs w:val="22"/>
              </w:rPr>
              <w:t>3</w:t>
            </w:r>
            <w:r w:rsidR="00140CE9" w:rsidRPr="000C5CA4">
              <w:rPr>
                <w:b w:val="0"/>
                <w:noProof/>
                <w:webHidden/>
                <w:sz w:val="22"/>
                <w:szCs w:val="22"/>
              </w:rPr>
              <w:fldChar w:fldCharType="end"/>
            </w:r>
          </w:hyperlink>
        </w:p>
        <w:p w14:paraId="2AA0C055" w14:textId="767ABD00" w:rsidR="00140CE9" w:rsidRPr="000C5CA4" w:rsidRDefault="00B03B2F" w:rsidP="00140CE9">
          <w:pPr>
            <w:pStyle w:val="TOC2"/>
            <w:tabs>
              <w:tab w:val="right" w:leader="dot" w:pos="9020"/>
            </w:tabs>
            <w:spacing w:before="0"/>
            <w:rPr>
              <w:rFonts w:asciiTheme="majorHAnsi" w:eastAsiaTheme="minorEastAsia" w:hAnsiTheme="majorHAnsi" w:cstheme="minorBidi"/>
              <w:b w:val="0"/>
              <w:bCs w:val="0"/>
              <w:noProof/>
              <w:sz w:val="22"/>
              <w:szCs w:val="22"/>
              <w:lang w:eastAsia="bs-Latn-BA"/>
            </w:rPr>
          </w:pPr>
          <w:hyperlink w:anchor="_Toc200303200" w:history="1">
            <w:r w:rsidR="00140CE9" w:rsidRPr="000C5CA4">
              <w:rPr>
                <w:rStyle w:val="Hyperlink"/>
                <w:rFonts w:asciiTheme="majorHAnsi" w:hAnsiTheme="majorHAnsi"/>
                <w:b w:val="0"/>
                <w:noProof/>
                <w:sz w:val="22"/>
                <w:szCs w:val="22"/>
              </w:rPr>
              <w:t>Institucionalni mehanizmi za ravnopravnost spolova</w:t>
            </w:r>
            <w:r w:rsidR="00140CE9" w:rsidRPr="000C5CA4">
              <w:rPr>
                <w:rFonts w:asciiTheme="majorHAnsi" w:hAnsiTheme="majorHAnsi"/>
                <w:b w:val="0"/>
                <w:noProof/>
                <w:webHidden/>
                <w:sz w:val="22"/>
                <w:szCs w:val="22"/>
              </w:rPr>
              <w:tab/>
            </w:r>
            <w:r w:rsidR="00140CE9" w:rsidRPr="000C5CA4">
              <w:rPr>
                <w:rFonts w:asciiTheme="majorHAnsi" w:hAnsiTheme="majorHAnsi"/>
                <w:b w:val="0"/>
                <w:noProof/>
                <w:webHidden/>
                <w:sz w:val="22"/>
                <w:szCs w:val="22"/>
              </w:rPr>
              <w:fldChar w:fldCharType="begin"/>
            </w:r>
            <w:r w:rsidR="00140CE9" w:rsidRPr="000C5CA4">
              <w:rPr>
                <w:rFonts w:asciiTheme="majorHAnsi" w:hAnsiTheme="majorHAnsi"/>
                <w:b w:val="0"/>
                <w:noProof/>
                <w:webHidden/>
                <w:sz w:val="22"/>
                <w:szCs w:val="22"/>
              </w:rPr>
              <w:instrText xml:space="preserve"> PAGEREF _Toc200303200 \h </w:instrText>
            </w:r>
            <w:r w:rsidR="00140CE9" w:rsidRPr="000C5CA4">
              <w:rPr>
                <w:rFonts w:asciiTheme="majorHAnsi" w:hAnsiTheme="majorHAnsi"/>
                <w:b w:val="0"/>
                <w:noProof/>
                <w:webHidden/>
                <w:sz w:val="22"/>
                <w:szCs w:val="22"/>
              </w:rPr>
            </w:r>
            <w:r w:rsidR="00140CE9" w:rsidRPr="000C5CA4">
              <w:rPr>
                <w:rFonts w:asciiTheme="majorHAnsi" w:hAnsiTheme="majorHAnsi"/>
                <w:b w:val="0"/>
                <w:noProof/>
                <w:webHidden/>
                <w:sz w:val="22"/>
                <w:szCs w:val="22"/>
              </w:rPr>
              <w:fldChar w:fldCharType="separate"/>
            </w:r>
            <w:r w:rsidR="002543E7">
              <w:rPr>
                <w:rFonts w:asciiTheme="majorHAnsi" w:hAnsiTheme="majorHAnsi"/>
                <w:b w:val="0"/>
                <w:noProof/>
                <w:webHidden/>
                <w:sz w:val="22"/>
                <w:szCs w:val="22"/>
              </w:rPr>
              <w:t>4</w:t>
            </w:r>
            <w:r w:rsidR="00140CE9" w:rsidRPr="000C5CA4">
              <w:rPr>
                <w:rFonts w:asciiTheme="majorHAnsi" w:hAnsiTheme="majorHAnsi"/>
                <w:b w:val="0"/>
                <w:noProof/>
                <w:webHidden/>
                <w:sz w:val="22"/>
                <w:szCs w:val="22"/>
              </w:rPr>
              <w:fldChar w:fldCharType="end"/>
            </w:r>
          </w:hyperlink>
        </w:p>
        <w:p w14:paraId="73FF4375" w14:textId="2802A6C2" w:rsidR="00140CE9" w:rsidRPr="000C5CA4" w:rsidRDefault="00B03B2F" w:rsidP="00140CE9">
          <w:pPr>
            <w:pStyle w:val="TOC2"/>
            <w:tabs>
              <w:tab w:val="right" w:leader="dot" w:pos="9020"/>
            </w:tabs>
            <w:spacing w:before="0"/>
            <w:rPr>
              <w:rFonts w:asciiTheme="majorHAnsi" w:eastAsiaTheme="minorEastAsia" w:hAnsiTheme="majorHAnsi" w:cstheme="minorBidi"/>
              <w:b w:val="0"/>
              <w:bCs w:val="0"/>
              <w:noProof/>
              <w:sz w:val="22"/>
              <w:szCs w:val="22"/>
              <w:lang w:eastAsia="bs-Latn-BA"/>
            </w:rPr>
          </w:pPr>
          <w:hyperlink w:anchor="_Toc200303201" w:history="1">
            <w:r w:rsidR="00140CE9" w:rsidRPr="000C5CA4">
              <w:rPr>
                <w:rStyle w:val="Hyperlink"/>
                <w:rFonts w:asciiTheme="majorHAnsi" w:hAnsiTheme="majorHAnsi"/>
                <w:b w:val="0"/>
                <w:noProof/>
                <w:sz w:val="22"/>
                <w:szCs w:val="22"/>
              </w:rPr>
              <w:t>Institucionalni mehanizam za ravnopravnosti spolova Tuzlanskog kantona</w:t>
            </w:r>
            <w:r w:rsidR="00140CE9" w:rsidRPr="000C5CA4">
              <w:rPr>
                <w:rFonts w:asciiTheme="majorHAnsi" w:hAnsiTheme="majorHAnsi"/>
                <w:b w:val="0"/>
                <w:noProof/>
                <w:webHidden/>
                <w:sz w:val="22"/>
                <w:szCs w:val="22"/>
              </w:rPr>
              <w:tab/>
            </w:r>
            <w:r w:rsidR="00140CE9" w:rsidRPr="000C5CA4">
              <w:rPr>
                <w:rFonts w:asciiTheme="majorHAnsi" w:hAnsiTheme="majorHAnsi"/>
                <w:b w:val="0"/>
                <w:noProof/>
                <w:webHidden/>
                <w:sz w:val="22"/>
                <w:szCs w:val="22"/>
              </w:rPr>
              <w:fldChar w:fldCharType="begin"/>
            </w:r>
            <w:r w:rsidR="00140CE9" w:rsidRPr="000C5CA4">
              <w:rPr>
                <w:rFonts w:asciiTheme="majorHAnsi" w:hAnsiTheme="majorHAnsi"/>
                <w:b w:val="0"/>
                <w:noProof/>
                <w:webHidden/>
                <w:sz w:val="22"/>
                <w:szCs w:val="22"/>
              </w:rPr>
              <w:instrText xml:space="preserve"> PAGEREF _Toc200303201 \h </w:instrText>
            </w:r>
            <w:r w:rsidR="00140CE9" w:rsidRPr="000C5CA4">
              <w:rPr>
                <w:rFonts w:asciiTheme="majorHAnsi" w:hAnsiTheme="majorHAnsi"/>
                <w:b w:val="0"/>
                <w:noProof/>
                <w:webHidden/>
                <w:sz w:val="22"/>
                <w:szCs w:val="22"/>
              </w:rPr>
            </w:r>
            <w:r w:rsidR="00140CE9" w:rsidRPr="000C5CA4">
              <w:rPr>
                <w:rFonts w:asciiTheme="majorHAnsi" w:hAnsiTheme="majorHAnsi"/>
                <w:b w:val="0"/>
                <w:noProof/>
                <w:webHidden/>
                <w:sz w:val="22"/>
                <w:szCs w:val="22"/>
              </w:rPr>
              <w:fldChar w:fldCharType="separate"/>
            </w:r>
            <w:r w:rsidR="002543E7">
              <w:rPr>
                <w:rFonts w:asciiTheme="majorHAnsi" w:hAnsiTheme="majorHAnsi"/>
                <w:b w:val="0"/>
                <w:noProof/>
                <w:webHidden/>
                <w:sz w:val="22"/>
                <w:szCs w:val="22"/>
              </w:rPr>
              <w:t>5</w:t>
            </w:r>
            <w:r w:rsidR="00140CE9" w:rsidRPr="000C5CA4">
              <w:rPr>
                <w:rFonts w:asciiTheme="majorHAnsi" w:hAnsiTheme="majorHAnsi"/>
                <w:b w:val="0"/>
                <w:noProof/>
                <w:webHidden/>
                <w:sz w:val="22"/>
                <w:szCs w:val="22"/>
              </w:rPr>
              <w:fldChar w:fldCharType="end"/>
            </w:r>
          </w:hyperlink>
        </w:p>
        <w:p w14:paraId="22CBE3C1" w14:textId="4388F204" w:rsidR="00140CE9" w:rsidRPr="000C5CA4" w:rsidRDefault="00B03B2F" w:rsidP="00140CE9">
          <w:pPr>
            <w:pStyle w:val="TOC2"/>
            <w:tabs>
              <w:tab w:val="right" w:leader="dot" w:pos="9020"/>
            </w:tabs>
            <w:spacing w:before="0"/>
            <w:rPr>
              <w:rFonts w:asciiTheme="majorHAnsi" w:eastAsiaTheme="minorEastAsia" w:hAnsiTheme="majorHAnsi" w:cstheme="minorBidi"/>
              <w:b w:val="0"/>
              <w:bCs w:val="0"/>
              <w:noProof/>
              <w:sz w:val="22"/>
              <w:szCs w:val="22"/>
              <w:lang w:eastAsia="bs-Latn-BA"/>
            </w:rPr>
          </w:pPr>
          <w:hyperlink w:anchor="_Toc200303202" w:history="1">
            <w:r w:rsidR="00140CE9" w:rsidRPr="000C5CA4">
              <w:rPr>
                <w:rStyle w:val="Hyperlink"/>
                <w:rFonts w:asciiTheme="majorHAnsi" w:hAnsiTheme="majorHAnsi"/>
                <w:b w:val="0"/>
                <w:noProof/>
                <w:sz w:val="22"/>
                <w:szCs w:val="22"/>
              </w:rPr>
              <w:t>Pravni okvir za izradu Gender akcionog i finansijskog plana Tuzlanskog kantona</w:t>
            </w:r>
            <w:r w:rsidR="00140CE9" w:rsidRPr="000C5CA4">
              <w:rPr>
                <w:rFonts w:asciiTheme="majorHAnsi" w:hAnsiTheme="majorHAnsi"/>
                <w:b w:val="0"/>
                <w:noProof/>
                <w:webHidden/>
                <w:sz w:val="22"/>
                <w:szCs w:val="22"/>
              </w:rPr>
              <w:tab/>
            </w:r>
            <w:r w:rsidR="00140CE9" w:rsidRPr="000C5CA4">
              <w:rPr>
                <w:rFonts w:asciiTheme="majorHAnsi" w:hAnsiTheme="majorHAnsi"/>
                <w:b w:val="0"/>
                <w:noProof/>
                <w:webHidden/>
                <w:sz w:val="22"/>
                <w:szCs w:val="22"/>
              </w:rPr>
              <w:fldChar w:fldCharType="begin"/>
            </w:r>
            <w:r w:rsidR="00140CE9" w:rsidRPr="000C5CA4">
              <w:rPr>
                <w:rFonts w:asciiTheme="majorHAnsi" w:hAnsiTheme="majorHAnsi"/>
                <w:b w:val="0"/>
                <w:noProof/>
                <w:webHidden/>
                <w:sz w:val="22"/>
                <w:szCs w:val="22"/>
              </w:rPr>
              <w:instrText xml:space="preserve"> PAGEREF _Toc200303202 \h </w:instrText>
            </w:r>
            <w:r w:rsidR="00140CE9" w:rsidRPr="000C5CA4">
              <w:rPr>
                <w:rFonts w:asciiTheme="majorHAnsi" w:hAnsiTheme="majorHAnsi"/>
                <w:b w:val="0"/>
                <w:noProof/>
                <w:webHidden/>
                <w:sz w:val="22"/>
                <w:szCs w:val="22"/>
              </w:rPr>
            </w:r>
            <w:r w:rsidR="00140CE9" w:rsidRPr="000C5CA4">
              <w:rPr>
                <w:rFonts w:asciiTheme="majorHAnsi" w:hAnsiTheme="majorHAnsi"/>
                <w:b w:val="0"/>
                <w:noProof/>
                <w:webHidden/>
                <w:sz w:val="22"/>
                <w:szCs w:val="22"/>
              </w:rPr>
              <w:fldChar w:fldCharType="separate"/>
            </w:r>
            <w:r w:rsidR="002543E7">
              <w:rPr>
                <w:rFonts w:asciiTheme="majorHAnsi" w:hAnsiTheme="majorHAnsi"/>
                <w:b w:val="0"/>
                <w:noProof/>
                <w:webHidden/>
                <w:sz w:val="22"/>
                <w:szCs w:val="22"/>
              </w:rPr>
              <w:t>10</w:t>
            </w:r>
            <w:r w:rsidR="00140CE9" w:rsidRPr="000C5CA4">
              <w:rPr>
                <w:rFonts w:asciiTheme="majorHAnsi" w:hAnsiTheme="majorHAnsi"/>
                <w:b w:val="0"/>
                <w:noProof/>
                <w:webHidden/>
                <w:sz w:val="22"/>
                <w:szCs w:val="22"/>
              </w:rPr>
              <w:fldChar w:fldCharType="end"/>
            </w:r>
          </w:hyperlink>
        </w:p>
        <w:p w14:paraId="02ED2D85" w14:textId="67D47494" w:rsidR="00140CE9" w:rsidRPr="000C5CA4" w:rsidRDefault="00B03B2F" w:rsidP="00140CE9">
          <w:pPr>
            <w:pStyle w:val="TOC1"/>
            <w:tabs>
              <w:tab w:val="left" w:pos="480"/>
              <w:tab w:val="right" w:leader="dot" w:pos="9020"/>
            </w:tabs>
            <w:spacing w:before="0"/>
            <w:rPr>
              <w:rFonts w:eastAsiaTheme="minorEastAsia" w:cstheme="minorBidi"/>
              <w:b w:val="0"/>
              <w:bCs w:val="0"/>
              <w:caps w:val="0"/>
              <w:noProof/>
              <w:sz w:val="22"/>
              <w:szCs w:val="22"/>
              <w:lang w:eastAsia="bs-Latn-BA"/>
            </w:rPr>
          </w:pPr>
          <w:hyperlink w:anchor="_Toc200303203" w:history="1">
            <w:r w:rsidR="00140CE9" w:rsidRPr="000C5CA4">
              <w:rPr>
                <w:rStyle w:val="Hyperlink"/>
                <w:b w:val="0"/>
                <w:noProof/>
                <w:sz w:val="22"/>
                <w:szCs w:val="22"/>
              </w:rPr>
              <w:t>II.</w:t>
            </w:r>
            <w:r w:rsidR="00140CE9" w:rsidRPr="000C5CA4">
              <w:rPr>
                <w:rFonts w:eastAsiaTheme="minorEastAsia" w:cstheme="minorBidi"/>
                <w:b w:val="0"/>
                <w:bCs w:val="0"/>
                <w:caps w:val="0"/>
                <w:noProof/>
                <w:sz w:val="22"/>
                <w:szCs w:val="22"/>
                <w:lang w:eastAsia="bs-Latn-BA"/>
              </w:rPr>
              <w:tab/>
            </w:r>
            <w:r w:rsidR="00140CE9" w:rsidRPr="000C5CA4">
              <w:rPr>
                <w:rStyle w:val="Hyperlink"/>
                <w:b w:val="0"/>
                <w:noProof/>
                <w:sz w:val="22"/>
                <w:szCs w:val="22"/>
              </w:rPr>
              <w:t>Stanje ravnopravnosti spolova u Tuzlanskom kantonu</w:t>
            </w:r>
            <w:r w:rsidR="00140CE9" w:rsidRPr="000C5CA4">
              <w:rPr>
                <w:b w:val="0"/>
                <w:noProof/>
                <w:webHidden/>
                <w:sz w:val="22"/>
                <w:szCs w:val="22"/>
              </w:rPr>
              <w:tab/>
            </w:r>
            <w:r w:rsidR="00140CE9" w:rsidRPr="000C5CA4">
              <w:rPr>
                <w:b w:val="0"/>
                <w:noProof/>
                <w:webHidden/>
                <w:sz w:val="22"/>
                <w:szCs w:val="22"/>
              </w:rPr>
              <w:fldChar w:fldCharType="begin"/>
            </w:r>
            <w:r w:rsidR="00140CE9" w:rsidRPr="000C5CA4">
              <w:rPr>
                <w:b w:val="0"/>
                <w:noProof/>
                <w:webHidden/>
                <w:sz w:val="22"/>
                <w:szCs w:val="22"/>
              </w:rPr>
              <w:instrText xml:space="preserve"> PAGEREF _Toc200303203 \h </w:instrText>
            </w:r>
            <w:r w:rsidR="00140CE9" w:rsidRPr="000C5CA4">
              <w:rPr>
                <w:b w:val="0"/>
                <w:noProof/>
                <w:webHidden/>
                <w:sz w:val="22"/>
                <w:szCs w:val="22"/>
              </w:rPr>
            </w:r>
            <w:r w:rsidR="00140CE9" w:rsidRPr="000C5CA4">
              <w:rPr>
                <w:b w:val="0"/>
                <w:noProof/>
                <w:webHidden/>
                <w:sz w:val="22"/>
                <w:szCs w:val="22"/>
              </w:rPr>
              <w:fldChar w:fldCharType="separate"/>
            </w:r>
            <w:r w:rsidR="002543E7">
              <w:rPr>
                <w:b w:val="0"/>
                <w:noProof/>
                <w:webHidden/>
                <w:sz w:val="22"/>
                <w:szCs w:val="22"/>
              </w:rPr>
              <w:t>11</w:t>
            </w:r>
            <w:r w:rsidR="00140CE9" w:rsidRPr="000C5CA4">
              <w:rPr>
                <w:b w:val="0"/>
                <w:noProof/>
                <w:webHidden/>
                <w:sz w:val="22"/>
                <w:szCs w:val="22"/>
              </w:rPr>
              <w:fldChar w:fldCharType="end"/>
            </w:r>
          </w:hyperlink>
        </w:p>
        <w:p w14:paraId="5FF808F4" w14:textId="64557281" w:rsidR="00140CE9" w:rsidRPr="000C5CA4" w:rsidRDefault="00B03B2F" w:rsidP="00140CE9">
          <w:pPr>
            <w:pStyle w:val="TOC2"/>
            <w:tabs>
              <w:tab w:val="right" w:leader="dot" w:pos="9020"/>
            </w:tabs>
            <w:spacing w:before="0"/>
            <w:rPr>
              <w:rFonts w:asciiTheme="majorHAnsi" w:eastAsiaTheme="minorEastAsia" w:hAnsiTheme="majorHAnsi" w:cstheme="minorBidi"/>
              <w:b w:val="0"/>
              <w:bCs w:val="0"/>
              <w:noProof/>
              <w:sz w:val="22"/>
              <w:szCs w:val="22"/>
              <w:lang w:eastAsia="bs-Latn-BA"/>
            </w:rPr>
          </w:pPr>
          <w:hyperlink w:anchor="_Toc200303204" w:history="1">
            <w:r w:rsidR="00140CE9" w:rsidRPr="000C5CA4">
              <w:rPr>
                <w:rStyle w:val="Hyperlink"/>
                <w:rFonts w:asciiTheme="majorHAnsi" w:hAnsiTheme="majorHAnsi"/>
                <w:b w:val="0"/>
                <w:noProof/>
                <w:sz w:val="22"/>
                <w:szCs w:val="22"/>
              </w:rPr>
              <w:t>Osnovni demografski podaci razvrstani po spolu</w:t>
            </w:r>
            <w:r w:rsidR="00140CE9" w:rsidRPr="000C5CA4">
              <w:rPr>
                <w:rFonts w:asciiTheme="majorHAnsi" w:hAnsiTheme="majorHAnsi"/>
                <w:b w:val="0"/>
                <w:noProof/>
                <w:webHidden/>
                <w:sz w:val="22"/>
                <w:szCs w:val="22"/>
              </w:rPr>
              <w:tab/>
            </w:r>
            <w:r w:rsidR="00140CE9" w:rsidRPr="000C5CA4">
              <w:rPr>
                <w:rFonts w:asciiTheme="majorHAnsi" w:hAnsiTheme="majorHAnsi"/>
                <w:b w:val="0"/>
                <w:noProof/>
                <w:webHidden/>
                <w:sz w:val="22"/>
                <w:szCs w:val="22"/>
              </w:rPr>
              <w:fldChar w:fldCharType="begin"/>
            </w:r>
            <w:r w:rsidR="00140CE9" w:rsidRPr="000C5CA4">
              <w:rPr>
                <w:rFonts w:asciiTheme="majorHAnsi" w:hAnsiTheme="majorHAnsi"/>
                <w:b w:val="0"/>
                <w:noProof/>
                <w:webHidden/>
                <w:sz w:val="22"/>
                <w:szCs w:val="22"/>
              </w:rPr>
              <w:instrText xml:space="preserve"> PAGEREF _Toc200303204 \h </w:instrText>
            </w:r>
            <w:r w:rsidR="00140CE9" w:rsidRPr="000C5CA4">
              <w:rPr>
                <w:rFonts w:asciiTheme="majorHAnsi" w:hAnsiTheme="majorHAnsi"/>
                <w:b w:val="0"/>
                <w:noProof/>
                <w:webHidden/>
                <w:sz w:val="22"/>
                <w:szCs w:val="22"/>
              </w:rPr>
            </w:r>
            <w:r w:rsidR="00140CE9" w:rsidRPr="000C5CA4">
              <w:rPr>
                <w:rFonts w:asciiTheme="majorHAnsi" w:hAnsiTheme="majorHAnsi"/>
                <w:b w:val="0"/>
                <w:noProof/>
                <w:webHidden/>
                <w:sz w:val="22"/>
                <w:szCs w:val="22"/>
              </w:rPr>
              <w:fldChar w:fldCharType="separate"/>
            </w:r>
            <w:r w:rsidR="002543E7">
              <w:rPr>
                <w:rFonts w:asciiTheme="majorHAnsi" w:hAnsiTheme="majorHAnsi"/>
                <w:b w:val="0"/>
                <w:noProof/>
                <w:webHidden/>
                <w:sz w:val="22"/>
                <w:szCs w:val="22"/>
              </w:rPr>
              <w:t>12</w:t>
            </w:r>
            <w:r w:rsidR="00140CE9" w:rsidRPr="000C5CA4">
              <w:rPr>
                <w:rFonts w:asciiTheme="majorHAnsi" w:hAnsiTheme="majorHAnsi"/>
                <w:b w:val="0"/>
                <w:noProof/>
                <w:webHidden/>
                <w:sz w:val="22"/>
                <w:szCs w:val="22"/>
              </w:rPr>
              <w:fldChar w:fldCharType="end"/>
            </w:r>
          </w:hyperlink>
        </w:p>
        <w:p w14:paraId="497C56FA" w14:textId="4FB4D791" w:rsidR="00140CE9" w:rsidRPr="000C5CA4" w:rsidRDefault="00B03B2F" w:rsidP="00140CE9">
          <w:pPr>
            <w:pStyle w:val="TOC3"/>
            <w:tabs>
              <w:tab w:val="right" w:leader="dot" w:pos="9020"/>
            </w:tabs>
            <w:rPr>
              <w:rFonts w:asciiTheme="majorHAnsi" w:eastAsiaTheme="minorEastAsia" w:hAnsiTheme="majorHAnsi" w:cstheme="minorBidi"/>
              <w:noProof/>
              <w:sz w:val="22"/>
              <w:szCs w:val="22"/>
              <w:lang w:eastAsia="bs-Latn-BA"/>
            </w:rPr>
          </w:pPr>
          <w:hyperlink w:anchor="_Toc200303205" w:history="1">
            <w:r w:rsidR="00140CE9" w:rsidRPr="000C5CA4">
              <w:rPr>
                <w:rStyle w:val="Hyperlink"/>
                <w:rFonts w:asciiTheme="majorHAnsi" w:hAnsiTheme="majorHAnsi"/>
                <w:noProof/>
                <w:sz w:val="22"/>
                <w:szCs w:val="22"/>
              </w:rPr>
              <w:t>Tržište rada</w:t>
            </w:r>
            <w:r w:rsidR="00140CE9" w:rsidRPr="000C5CA4">
              <w:rPr>
                <w:rFonts w:asciiTheme="majorHAnsi" w:hAnsiTheme="majorHAnsi"/>
                <w:noProof/>
                <w:webHidden/>
                <w:sz w:val="22"/>
                <w:szCs w:val="22"/>
              </w:rPr>
              <w:tab/>
            </w:r>
            <w:r w:rsidR="00140CE9" w:rsidRPr="000C5CA4">
              <w:rPr>
                <w:rFonts w:asciiTheme="majorHAnsi" w:hAnsiTheme="majorHAnsi"/>
                <w:noProof/>
                <w:webHidden/>
                <w:sz w:val="22"/>
                <w:szCs w:val="22"/>
              </w:rPr>
              <w:fldChar w:fldCharType="begin"/>
            </w:r>
            <w:r w:rsidR="00140CE9" w:rsidRPr="000C5CA4">
              <w:rPr>
                <w:rFonts w:asciiTheme="majorHAnsi" w:hAnsiTheme="majorHAnsi"/>
                <w:noProof/>
                <w:webHidden/>
                <w:sz w:val="22"/>
                <w:szCs w:val="22"/>
              </w:rPr>
              <w:instrText xml:space="preserve"> PAGEREF _Toc200303205 \h </w:instrText>
            </w:r>
            <w:r w:rsidR="00140CE9" w:rsidRPr="000C5CA4">
              <w:rPr>
                <w:rFonts w:asciiTheme="majorHAnsi" w:hAnsiTheme="majorHAnsi"/>
                <w:noProof/>
                <w:webHidden/>
                <w:sz w:val="22"/>
                <w:szCs w:val="22"/>
              </w:rPr>
            </w:r>
            <w:r w:rsidR="00140CE9" w:rsidRPr="000C5CA4">
              <w:rPr>
                <w:rFonts w:asciiTheme="majorHAnsi" w:hAnsiTheme="majorHAnsi"/>
                <w:noProof/>
                <w:webHidden/>
                <w:sz w:val="22"/>
                <w:szCs w:val="22"/>
              </w:rPr>
              <w:fldChar w:fldCharType="separate"/>
            </w:r>
            <w:r w:rsidR="002543E7">
              <w:rPr>
                <w:rFonts w:asciiTheme="majorHAnsi" w:hAnsiTheme="majorHAnsi"/>
                <w:noProof/>
                <w:webHidden/>
                <w:sz w:val="22"/>
                <w:szCs w:val="22"/>
              </w:rPr>
              <w:t>13</w:t>
            </w:r>
            <w:r w:rsidR="00140CE9" w:rsidRPr="000C5CA4">
              <w:rPr>
                <w:rFonts w:asciiTheme="majorHAnsi" w:hAnsiTheme="majorHAnsi"/>
                <w:noProof/>
                <w:webHidden/>
                <w:sz w:val="22"/>
                <w:szCs w:val="22"/>
              </w:rPr>
              <w:fldChar w:fldCharType="end"/>
            </w:r>
          </w:hyperlink>
        </w:p>
        <w:p w14:paraId="42219999" w14:textId="7B5C4807" w:rsidR="00140CE9" w:rsidRPr="000C5CA4" w:rsidRDefault="00B03B2F" w:rsidP="00140CE9">
          <w:pPr>
            <w:pStyle w:val="TOC3"/>
            <w:tabs>
              <w:tab w:val="right" w:leader="dot" w:pos="9020"/>
            </w:tabs>
            <w:rPr>
              <w:rFonts w:asciiTheme="majorHAnsi" w:eastAsiaTheme="minorEastAsia" w:hAnsiTheme="majorHAnsi" w:cstheme="minorBidi"/>
              <w:noProof/>
              <w:sz w:val="22"/>
              <w:szCs w:val="22"/>
              <w:lang w:eastAsia="bs-Latn-BA"/>
            </w:rPr>
          </w:pPr>
          <w:hyperlink w:anchor="_Toc200303206" w:history="1">
            <w:r w:rsidR="00140CE9" w:rsidRPr="000C5CA4">
              <w:rPr>
                <w:rStyle w:val="Hyperlink"/>
                <w:rFonts w:asciiTheme="majorHAnsi" w:hAnsiTheme="majorHAnsi"/>
                <w:noProof/>
                <w:sz w:val="22"/>
                <w:szCs w:val="22"/>
              </w:rPr>
              <w:t>Obrazovanje</w:t>
            </w:r>
            <w:r w:rsidR="00140CE9" w:rsidRPr="000C5CA4">
              <w:rPr>
                <w:rFonts w:asciiTheme="majorHAnsi" w:hAnsiTheme="majorHAnsi"/>
                <w:noProof/>
                <w:webHidden/>
                <w:sz w:val="22"/>
                <w:szCs w:val="22"/>
              </w:rPr>
              <w:tab/>
            </w:r>
            <w:r w:rsidR="00140CE9" w:rsidRPr="000C5CA4">
              <w:rPr>
                <w:rFonts w:asciiTheme="majorHAnsi" w:hAnsiTheme="majorHAnsi"/>
                <w:noProof/>
                <w:webHidden/>
                <w:sz w:val="22"/>
                <w:szCs w:val="22"/>
              </w:rPr>
              <w:fldChar w:fldCharType="begin"/>
            </w:r>
            <w:r w:rsidR="00140CE9" w:rsidRPr="000C5CA4">
              <w:rPr>
                <w:rFonts w:asciiTheme="majorHAnsi" w:hAnsiTheme="majorHAnsi"/>
                <w:noProof/>
                <w:webHidden/>
                <w:sz w:val="22"/>
                <w:szCs w:val="22"/>
              </w:rPr>
              <w:instrText xml:space="preserve"> PAGEREF _Toc200303206 \h </w:instrText>
            </w:r>
            <w:r w:rsidR="00140CE9" w:rsidRPr="000C5CA4">
              <w:rPr>
                <w:rFonts w:asciiTheme="majorHAnsi" w:hAnsiTheme="majorHAnsi"/>
                <w:noProof/>
                <w:webHidden/>
                <w:sz w:val="22"/>
                <w:szCs w:val="22"/>
              </w:rPr>
            </w:r>
            <w:r w:rsidR="00140CE9" w:rsidRPr="000C5CA4">
              <w:rPr>
                <w:rFonts w:asciiTheme="majorHAnsi" w:hAnsiTheme="majorHAnsi"/>
                <w:noProof/>
                <w:webHidden/>
                <w:sz w:val="22"/>
                <w:szCs w:val="22"/>
              </w:rPr>
              <w:fldChar w:fldCharType="separate"/>
            </w:r>
            <w:r w:rsidR="002543E7">
              <w:rPr>
                <w:rFonts w:asciiTheme="majorHAnsi" w:hAnsiTheme="majorHAnsi"/>
                <w:noProof/>
                <w:webHidden/>
                <w:sz w:val="22"/>
                <w:szCs w:val="22"/>
              </w:rPr>
              <w:t>20</w:t>
            </w:r>
            <w:r w:rsidR="00140CE9" w:rsidRPr="000C5CA4">
              <w:rPr>
                <w:rFonts w:asciiTheme="majorHAnsi" w:hAnsiTheme="majorHAnsi"/>
                <w:noProof/>
                <w:webHidden/>
                <w:sz w:val="22"/>
                <w:szCs w:val="22"/>
              </w:rPr>
              <w:fldChar w:fldCharType="end"/>
            </w:r>
          </w:hyperlink>
        </w:p>
        <w:p w14:paraId="1E0E6830" w14:textId="3C868AC4" w:rsidR="00140CE9" w:rsidRPr="000C5CA4" w:rsidRDefault="00B03B2F" w:rsidP="00140CE9">
          <w:pPr>
            <w:pStyle w:val="TOC3"/>
            <w:tabs>
              <w:tab w:val="right" w:leader="dot" w:pos="9020"/>
            </w:tabs>
            <w:rPr>
              <w:rFonts w:asciiTheme="majorHAnsi" w:eastAsiaTheme="minorEastAsia" w:hAnsiTheme="majorHAnsi" w:cstheme="minorBidi"/>
              <w:noProof/>
              <w:sz w:val="22"/>
              <w:szCs w:val="22"/>
              <w:lang w:eastAsia="bs-Latn-BA"/>
            </w:rPr>
          </w:pPr>
          <w:hyperlink w:anchor="_Toc200303207" w:history="1">
            <w:r w:rsidR="00140CE9" w:rsidRPr="000C5CA4">
              <w:rPr>
                <w:rStyle w:val="Hyperlink"/>
                <w:rFonts w:asciiTheme="majorHAnsi" w:hAnsiTheme="majorHAnsi"/>
                <w:noProof/>
                <w:sz w:val="22"/>
                <w:szCs w:val="22"/>
              </w:rPr>
              <w:t>Nasilje nad ženama i nasilje u porodici</w:t>
            </w:r>
            <w:r w:rsidR="00140CE9" w:rsidRPr="000C5CA4">
              <w:rPr>
                <w:rFonts w:asciiTheme="majorHAnsi" w:hAnsiTheme="majorHAnsi"/>
                <w:noProof/>
                <w:webHidden/>
                <w:sz w:val="22"/>
                <w:szCs w:val="22"/>
              </w:rPr>
              <w:tab/>
            </w:r>
            <w:r w:rsidR="00140CE9" w:rsidRPr="000C5CA4">
              <w:rPr>
                <w:rFonts w:asciiTheme="majorHAnsi" w:hAnsiTheme="majorHAnsi"/>
                <w:noProof/>
                <w:webHidden/>
                <w:sz w:val="22"/>
                <w:szCs w:val="22"/>
              </w:rPr>
              <w:fldChar w:fldCharType="begin"/>
            </w:r>
            <w:r w:rsidR="00140CE9" w:rsidRPr="000C5CA4">
              <w:rPr>
                <w:rFonts w:asciiTheme="majorHAnsi" w:hAnsiTheme="majorHAnsi"/>
                <w:noProof/>
                <w:webHidden/>
                <w:sz w:val="22"/>
                <w:szCs w:val="22"/>
              </w:rPr>
              <w:instrText xml:space="preserve"> PAGEREF _Toc200303207 \h </w:instrText>
            </w:r>
            <w:r w:rsidR="00140CE9" w:rsidRPr="000C5CA4">
              <w:rPr>
                <w:rFonts w:asciiTheme="majorHAnsi" w:hAnsiTheme="majorHAnsi"/>
                <w:noProof/>
                <w:webHidden/>
                <w:sz w:val="22"/>
                <w:szCs w:val="22"/>
              </w:rPr>
            </w:r>
            <w:r w:rsidR="00140CE9" w:rsidRPr="000C5CA4">
              <w:rPr>
                <w:rFonts w:asciiTheme="majorHAnsi" w:hAnsiTheme="majorHAnsi"/>
                <w:noProof/>
                <w:webHidden/>
                <w:sz w:val="22"/>
                <w:szCs w:val="22"/>
              </w:rPr>
              <w:fldChar w:fldCharType="separate"/>
            </w:r>
            <w:r w:rsidR="002543E7">
              <w:rPr>
                <w:rFonts w:asciiTheme="majorHAnsi" w:hAnsiTheme="majorHAnsi"/>
                <w:noProof/>
                <w:webHidden/>
                <w:sz w:val="22"/>
                <w:szCs w:val="22"/>
              </w:rPr>
              <w:t>25</w:t>
            </w:r>
            <w:r w:rsidR="00140CE9" w:rsidRPr="000C5CA4">
              <w:rPr>
                <w:rFonts w:asciiTheme="majorHAnsi" w:hAnsiTheme="majorHAnsi"/>
                <w:noProof/>
                <w:webHidden/>
                <w:sz w:val="22"/>
                <w:szCs w:val="22"/>
              </w:rPr>
              <w:fldChar w:fldCharType="end"/>
            </w:r>
          </w:hyperlink>
        </w:p>
        <w:p w14:paraId="29BFB89B" w14:textId="1E53B574" w:rsidR="00140CE9" w:rsidRPr="000C5CA4" w:rsidRDefault="00B03B2F" w:rsidP="00140CE9">
          <w:pPr>
            <w:pStyle w:val="TOC3"/>
            <w:tabs>
              <w:tab w:val="right" w:leader="dot" w:pos="9020"/>
            </w:tabs>
            <w:rPr>
              <w:rFonts w:asciiTheme="majorHAnsi" w:eastAsiaTheme="minorEastAsia" w:hAnsiTheme="majorHAnsi" w:cstheme="minorBidi"/>
              <w:noProof/>
              <w:sz w:val="22"/>
              <w:szCs w:val="22"/>
              <w:lang w:eastAsia="bs-Latn-BA"/>
            </w:rPr>
          </w:pPr>
          <w:hyperlink w:anchor="_Toc200303208" w:history="1">
            <w:r w:rsidR="00140CE9" w:rsidRPr="000C5CA4">
              <w:rPr>
                <w:rStyle w:val="Hyperlink"/>
                <w:rFonts w:asciiTheme="majorHAnsi" w:hAnsiTheme="majorHAnsi"/>
                <w:noProof/>
                <w:sz w:val="22"/>
                <w:szCs w:val="22"/>
              </w:rPr>
              <w:t>Javni život</w:t>
            </w:r>
            <w:r w:rsidR="00140CE9" w:rsidRPr="000C5CA4">
              <w:rPr>
                <w:rFonts w:asciiTheme="majorHAnsi" w:hAnsiTheme="majorHAnsi"/>
                <w:noProof/>
                <w:webHidden/>
                <w:sz w:val="22"/>
                <w:szCs w:val="22"/>
              </w:rPr>
              <w:tab/>
            </w:r>
            <w:r w:rsidR="00140CE9" w:rsidRPr="000C5CA4">
              <w:rPr>
                <w:rFonts w:asciiTheme="majorHAnsi" w:hAnsiTheme="majorHAnsi"/>
                <w:noProof/>
                <w:webHidden/>
                <w:sz w:val="22"/>
                <w:szCs w:val="22"/>
              </w:rPr>
              <w:fldChar w:fldCharType="begin"/>
            </w:r>
            <w:r w:rsidR="00140CE9" w:rsidRPr="000C5CA4">
              <w:rPr>
                <w:rFonts w:asciiTheme="majorHAnsi" w:hAnsiTheme="majorHAnsi"/>
                <w:noProof/>
                <w:webHidden/>
                <w:sz w:val="22"/>
                <w:szCs w:val="22"/>
              </w:rPr>
              <w:instrText xml:space="preserve"> PAGEREF _Toc200303208 \h </w:instrText>
            </w:r>
            <w:r w:rsidR="00140CE9" w:rsidRPr="000C5CA4">
              <w:rPr>
                <w:rFonts w:asciiTheme="majorHAnsi" w:hAnsiTheme="majorHAnsi"/>
                <w:noProof/>
                <w:webHidden/>
                <w:sz w:val="22"/>
                <w:szCs w:val="22"/>
              </w:rPr>
            </w:r>
            <w:r w:rsidR="00140CE9" w:rsidRPr="000C5CA4">
              <w:rPr>
                <w:rFonts w:asciiTheme="majorHAnsi" w:hAnsiTheme="majorHAnsi"/>
                <w:noProof/>
                <w:webHidden/>
                <w:sz w:val="22"/>
                <w:szCs w:val="22"/>
              </w:rPr>
              <w:fldChar w:fldCharType="separate"/>
            </w:r>
            <w:r w:rsidR="002543E7">
              <w:rPr>
                <w:rFonts w:asciiTheme="majorHAnsi" w:hAnsiTheme="majorHAnsi"/>
                <w:noProof/>
                <w:webHidden/>
                <w:sz w:val="22"/>
                <w:szCs w:val="22"/>
              </w:rPr>
              <w:t>29</w:t>
            </w:r>
            <w:r w:rsidR="00140CE9" w:rsidRPr="000C5CA4">
              <w:rPr>
                <w:rFonts w:asciiTheme="majorHAnsi" w:hAnsiTheme="majorHAnsi"/>
                <w:noProof/>
                <w:webHidden/>
                <w:sz w:val="22"/>
                <w:szCs w:val="22"/>
              </w:rPr>
              <w:fldChar w:fldCharType="end"/>
            </w:r>
          </w:hyperlink>
        </w:p>
        <w:p w14:paraId="3B19CA81" w14:textId="7F1BD3A0" w:rsidR="00140CE9" w:rsidRPr="000C5CA4" w:rsidRDefault="00B03B2F" w:rsidP="00140CE9">
          <w:pPr>
            <w:pStyle w:val="TOC3"/>
            <w:tabs>
              <w:tab w:val="right" w:leader="dot" w:pos="9020"/>
            </w:tabs>
            <w:rPr>
              <w:rFonts w:asciiTheme="majorHAnsi" w:eastAsiaTheme="minorEastAsia" w:hAnsiTheme="majorHAnsi" w:cstheme="minorBidi"/>
              <w:noProof/>
              <w:sz w:val="22"/>
              <w:szCs w:val="22"/>
              <w:lang w:eastAsia="bs-Latn-BA"/>
            </w:rPr>
          </w:pPr>
          <w:hyperlink w:anchor="_Toc200303209" w:history="1">
            <w:r w:rsidR="00140CE9" w:rsidRPr="000C5CA4">
              <w:rPr>
                <w:rStyle w:val="Hyperlink"/>
                <w:rFonts w:asciiTheme="majorHAnsi" w:hAnsiTheme="majorHAnsi"/>
                <w:noProof/>
                <w:sz w:val="22"/>
                <w:szCs w:val="22"/>
              </w:rPr>
              <w:t>Zdravstvena zaštita</w:t>
            </w:r>
            <w:r w:rsidR="00140CE9" w:rsidRPr="000C5CA4">
              <w:rPr>
                <w:rFonts w:asciiTheme="majorHAnsi" w:hAnsiTheme="majorHAnsi"/>
                <w:noProof/>
                <w:webHidden/>
                <w:sz w:val="22"/>
                <w:szCs w:val="22"/>
              </w:rPr>
              <w:tab/>
            </w:r>
            <w:r w:rsidR="00140CE9" w:rsidRPr="000C5CA4">
              <w:rPr>
                <w:rFonts w:asciiTheme="majorHAnsi" w:hAnsiTheme="majorHAnsi"/>
                <w:noProof/>
                <w:webHidden/>
                <w:sz w:val="22"/>
                <w:szCs w:val="22"/>
              </w:rPr>
              <w:fldChar w:fldCharType="begin"/>
            </w:r>
            <w:r w:rsidR="00140CE9" w:rsidRPr="000C5CA4">
              <w:rPr>
                <w:rFonts w:asciiTheme="majorHAnsi" w:hAnsiTheme="majorHAnsi"/>
                <w:noProof/>
                <w:webHidden/>
                <w:sz w:val="22"/>
                <w:szCs w:val="22"/>
              </w:rPr>
              <w:instrText xml:space="preserve"> PAGEREF _Toc200303209 \h </w:instrText>
            </w:r>
            <w:r w:rsidR="00140CE9" w:rsidRPr="000C5CA4">
              <w:rPr>
                <w:rFonts w:asciiTheme="majorHAnsi" w:hAnsiTheme="majorHAnsi"/>
                <w:noProof/>
                <w:webHidden/>
                <w:sz w:val="22"/>
                <w:szCs w:val="22"/>
              </w:rPr>
            </w:r>
            <w:r w:rsidR="00140CE9" w:rsidRPr="000C5CA4">
              <w:rPr>
                <w:rFonts w:asciiTheme="majorHAnsi" w:hAnsiTheme="majorHAnsi"/>
                <w:noProof/>
                <w:webHidden/>
                <w:sz w:val="22"/>
                <w:szCs w:val="22"/>
              </w:rPr>
              <w:fldChar w:fldCharType="separate"/>
            </w:r>
            <w:r w:rsidR="002543E7">
              <w:rPr>
                <w:rFonts w:asciiTheme="majorHAnsi" w:hAnsiTheme="majorHAnsi"/>
                <w:noProof/>
                <w:webHidden/>
                <w:sz w:val="22"/>
                <w:szCs w:val="22"/>
              </w:rPr>
              <w:t>30</w:t>
            </w:r>
            <w:r w:rsidR="00140CE9" w:rsidRPr="000C5CA4">
              <w:rPr>
                <w:rFonts w:asciiTheme="majorHAnsi" w:hAnsiTheme="majorHAnsi"/>
                <w:noProof/>
                <w:webHidden/>
                <w:sz w:val="22"/>
                <w:szCs w:val="22"/>
              </w:rPr>
              <w:fldChar w:fldCharType="end"/>
            </w:r>
          </w:hyperlink>
        </w:p>
        <w:p w14:paraId="677A998B" w14:textId="5F36DAA8" w:rsidR="00140CE9" w:rsidRPr="000C5CA4" w:rsidRDefault="00B03B2F" w:rsidP="00140CE9">
          <w:pPr>
            <w:pStyle w:val="TOC3"/>
            <w:tabs>
              <w:tab w:val="right" w:leader="dot" w:pos="9020"/>
            </w:tabs>
            <w:rPr>
              <w:rFonts w:asciiTheme="majorHAnsi" w:eastAsiaTheme="minorEastAsia" w:hAnsiTheme="majorHAnsi" w:cstheme="minorBidi"/>
              <w:noProof/>
              <w:sz w:val="22"/>
              <w:szCs w:val="22"/>
              <w:lang w:eastAsia="bs-Latn-BA"/>
            </w:rPr>
          </w:pPr>
          <w:hyperlink w:anchor="_Toc200303210" w:history="1">
            <w:r w:rsidR="00140CE9" w:rsidRPr="000C5CA4">
              <w:rPr>
                <w:rStyle w:val="Hyperlink"/>
                <w:rFonts w:asciiTheme="majorHAnsi" w:hAnsiTheme="majorHAnsi"/>
                <w:noProof/>
                <w:sz w:val="22"/>
                <w:szCs w:val="22"/>
              </w:rPr>
              <w:t>Ravnopravnost spolova u kontekstu zaštite okoliša i klimatskih promjena</w:t>
            </w:r>
            <w:r w:rsidR="00140CE9" w:rsidRPr="000C5CA4">
              <w:rPr>
                <w:rFonts w:asciiTheme="majorHAnsi" w:hAnsiTheme="majorHAnsi"/>
                <w:noProof/>
                <w:webHidden/>
                <w:sz w:val="22"/>
                <w:szCs w:val="22"/>
              </w:rPr>
              <w:tab/>
            </w:r>
            <w:r w:rsidR="00140CE9" w:rsidRPr="000C5CA4">
              <w:rPr>
                <w:rFonts w:asciiTheme="majorHAnsi" w:hAnsiTheme="majorHAnsi"/>
                <w:noProof/>
                <w:webHidden/>
                <w:sz w:val="22"/>
                <w:szCs w:val="22"/>
              </w:rPr>
              <w:fldChar w:fldCharType="begin"/>
            </w:r>
            <w:r w:rsidR="00140CE9" w:rsidRPr="000C5CA4">
              <w:rPr>
                <w:rFonts w:asciiTheme="majorHAnsi" w:hAnsiTheme="majorHAnsi"/>
                <w:noProof/>
                <w:webHidden/>
                <w:sz w:val="22"/>
                <w:szCs w:val="22"/>
              </w:rPr>
              <w:instrText xml:space="preserve"> PAGEREF _Toc200303210 \h </w:instrText>
            </w:r>
            <w:r w:rsidR="00140CE9" w:rsidRPr="000C5CA4">
              <w:rPr>
                <w:rFonts w:asciiTheme="majorHAnsi" w:hAnsiTheme="majorHAnsi"/>
                <w:noProof/>
                <w:webHidden/>
                <w:sz w:val="22"/>
                <w:szCs w:val="22"/>
              </w:rPr>
            </w:r>
            <w:r w:rsidR="00140CE9" w:rsidRPr="000C5CA4">
              <w:rPr>
                <w:rFonts w:asciiTheme="majorHAnsi" w:hAnsiTheme="majorHAnsi"/>
                <w:noProof/>
                <w:webHidden/>
                <w:sz w:val="22"/>
                <w:szCs w:val="22"/>
              </w:rPr>
              <w:fldChar w:fldCharType="separate"/>
            </w:r>
            <w:r w:rsidR="002543E7">
              <w:rPr>
                <w:rFonts w:asciiTheme="majorHAnsi" w:hAnsiTheme="majorHAnsi"/>
                <w:noProof/>
                <w:webHidden/>
                <w:sz w:val="22"/>
                <w:szCs w:val="22"/>
              </w:rPr>
              <w:t>31</w:t>
            </w:r>
            <w:r w:rsidR="00140CE9" w:rsidRPr="000C5CA4">
              <w:rPr>
                <w:rFonts w:asciiTheme="majorHAnsi" w:hAnsiTheme="majorHAnsi"/>
                <w:noProof/>
                <w:webHidden/>
                <w:sz w:val="22"/>
                <w:szCs w:val="22"/>
              </w:rPr>
              <w:fldChar w:fldCharType="end"/>
            </w:r>
          </w:hyperlink>
        </w:p>
        <w:p w14:paraId="65614BCD" w14:textId="60B4392E" w:rsidR="00140CE9" w:rsidRPr="000C5CA4" w:rsidRDefault="00B03B2F" w:rsidP="00140CE9">
          <w:pPr>
            <w:pStyle w:val="TOC1"/>
            <w:tabs>
              <w:tab w:val="left" w:pos="480"/>
              <w:tab w:val="right" w:leader="dot" w:pos="9020"/>
            </w:tabs>
            <w:spacing w:before="0"/>
            <w:rPr>
              <w:rFonts w:eastAsiaTheme="minorEastAsia" w:cstheme="minorBidi"/>
              <w:b w:val="0"/>
              <w:bCs w:val="0"/>
              <w:caps w:val="0"/>
              <w:noProof/>
              <w:sz w:val="22"/>
              <w:szCs w:val="22"/>
              <w:lang w:eastAsia="bs-Latn-BA"/>
            </w:rPr>
          </w:pPr>
          <w:hyperlink w:anchor="_Toc200303211" w:history="1">
            <w:r w:rsidR="00140CE9" w:rsidRPr="000C5CA4">
              <w:rPr>
                <w:rStyle w:val="Hyperlink"/>
                <w:b w:val="0"/>
                <w:noProof/>
                <w:sz w:val="22"/>
                <w:szCs w:val="22"/>
              </w:rPr>
              <w:t>III.</w:t>
            </w:r>
            <w:r w:rsidR="00140CE9" w:rsidRPr="000C5CA4">
              <w:rPr>
                <w:rFonts w:eastAsiaTheme="minorEastAsia" w:cstheme="minorBidi"/>
                <w:b w:val="0"/>
                <w:bCs w:val="0"/>
                <w:caps w:val="0"/>
                <w:noProof/>
                <w:sz w:val="22"/>
                <w:szCs w:val="22"/>
                <w:lang w:eastAsia="bs-Latn-BA"/>
              </w:rPr>
              <w:tab/>
            </w:r>
            <w:r w:rsidR="00140CE9" w:rsidRPr="000C5CA4">
              <w:rPr>
                <w:rStyle w:val="Hyperlink"/>
                <w:b w:val="0"/>
                <w:noProof/>
                <w:sz w:val="22"/>
                <w:szCs w:val="22"/>
              </w:rPr>
              <w:t xml:space="preserve">Struktura Gender akcionog plana </w:t>
            </w:r>
            <w:r w:rsidR="00140CE9" w:rsidRPr="000C5CA4">
              <w:rPr>
                <w:rStyle w:val="Hyperlink"/>
                <w:b w:val="0"/>
                <w:noProof/>
                <w:sz w:val="22"/>
                <w:szCs w:val="22"/>
                <w:u w:color="92D050"/>
              </w:rPr>
              <w:t>Tuzlanskog kantona</w:t>
            </w:r>
            <w:r w:rsidR="00140CE9" w:rsidRPr="000C5CA4">
              <w:rPr>
                <w:b w:val="0"/>
                <w:noProof/>
                <w:webHidden/>
                <w:sz w:val="22"/>
                <w:szCs w:val="22"/>
              </w:rPr>
              <w:tab/>
            </w:r>
            <w:r w:rsidR="00140CE9" w:rsidRPr="000C5CA4">
              <w:rPr>
                <w:b w:val="0"/>
                <w:noProof/>
                <w:webHidden/>
                <w:sz w:val="22"/>
                <w:szCs w:val="22"/>
              </w:rPr>
              <w:fldChar w:fldCharType="begin"/>
            </w:r>
            <w:r w:rsidR="00140CE9" w:rsidRPr="000C5CA4">
              <w:rPr>
                <w:b w:val="0"/>
                <w:noProof/>
                <w:webHidden/>
                <w:sz w:val="22"/>
                <w:szCs w:val="22"/>
              </w:rPr>
              <w:instrText xml:space="preserve"> PAGEREF _Toc200303211 \h </w:instrText>
            </w:r>
            <w:r w:rsidR="00140CE9" w:rsidRPr="000C5CA4">
              <w:rPr>
                <w:b w:val="0"/>
                <w:noProof/>
                <w:webHidden/>
                <w:sz w:val="22"/>
                <w:szCs w:val="22"/>
              </w:rPr>
            </w:r>
            <w:r w:rsidR="00140CE9" w:rsidRPr="000C5CA4">
              <w:rPr>
                <w:b w:val="0"/>
                <w:noProof/>
                <w:webHidden/>
                <w:sz w:val="22"/>
                <w:szCs w:val="22"/>
              </w:rPr>
              <w:fldChar w:fldCharType="separate"/>
            </w:r>
            <w:r w:rsidR="002543E7">
              <w:rPr>
                <w:b w:val="0"/>
                <w:noProof/>
                <w:webHidden/>
                <w:sz w:val="22"/>
                <w:szCs w:val="22"/>
              </w:rPr>
              <w:t>34</w:t>
            </w:r>
            <w:r w:rsidR="00140CE9" w:rsidRPr="000C5CA4">
              <w:rPr>
                <w:b w:val="0"/>
                <w:noProof/>
                <w:webHidden/>
                <w:sz w:val="22"/>
                <w:szCs w:val="22"/>
              </w:rPr>
              <w:fldChar w:fldCharType="end"/>
            </w:r>
          </w:hyperlink>
        </w:p>
        <w:p w14:paraId="60A5DD4C" w14:textId="01A0DA82" w:rsidR="00140CE9" w:rsidRPr="000C5CA4" w:rsidRDefault="00B03B2F" w:rsidP="00140CE9">
          <w:pPr>
            <w:pStyle w:val="TOC1"/>
            <w:tabs>
              <w:tab w:val="left" w:pos="480"/>
              <w:tab w:val="right" w:leader="dot" w:pos="9020"/>
            </w:tabs>
            <w:spacing w:before="0"/>
            <w:rPr>
              <w:rFonts w:eastAsiaTheme="minorEastAsia" w:cstheme="minorBidi"/>
              <w:b w:val="0"/>
              <w:bCs w:val="0"/>
              <w:caps w:val="0"/>
              <w:noProof/>
              <w:sz w:val="22"/>
              <w:szCs w:val="22"/>
              <w:lang w:eastAsia="bs-Latn-BA"/>
            </w:rPr>
          </w:pPr>
          <w:hyperlink w:anchor="_Toc200303212" w:history="1">
            <w:r w:rsidR="00140CE9" w:rsidRPr="000C5CA4">
              <w:rPr>
                <w:rStyle w:val="Hyperlink"/>
                <w:b w:val="0"/>
                <w:noProof/>
                <w:sz w:val="22"/>
                <w:szCs w:val="22"/>
              </w:rPr>
              <w:t>IV.</w:t>
            </w:r>
            <w:r w:rsidR="00140CE9" w:rsidRPr="000C5CA4">
              <w:rPr>
                <w:rFonts w:eastAsiaTheme="minorEastAsia" w:cstheme="minorBidi"/>
                <w:b w:val="0"/>
                <w:bCs w:val="0"/>
                <w:caps w:val="0"/>
                <w:noProof/>
                <w:sz w:val="22"/>
                <w:szCs w:val="22"/>
                <w:lang w:eastAsia="bs-Latn-BA"/>
              </w:rPr>
              <w:tab/>
            </w:r>
            <w:r w:rsidR="00140CE9" w:rsidRPr="000C5CA4">
              <w:rPr>
                <w:rStyle w:val="Hyperlink"/>
                <w:b w:val="0"/>
                <w:noProof/>
                <w:sz w:val="22"/>
                <w:szCs w:val="22"/>
              </w:rPr>
              <w:t xml:space="preserve">Ciljevi i aktivnosti Gender akcionog plana </w:t>
            </w:r>
            <w:r w:rsidR="00140CE9" w:rsidRPr="000C5CA4">
              <w:rPr>
                <w:rStyle w:val="Hyperlink"/>
                <w:b w:val="0"/>
                <w:noProof/>
                <w:sz w:val="22"/>
                <w:szCs w:val="22"/>
                <w:u w:color="92D050"/>
              </w:rPr>
              <w:t>Tuzlanskog kantona</w:t>
            </w:r>
            <w:r w:rsidR="00140CE9" w:rsidRPr="000C5CA4">
              <w:rPr>
                <w:rStyle w:val="Hyperlink"/>
                <w:b w:val="0"/>
                <w:noProof/>
                <w:sz w:val="22"/>
                <w:szCs w:val="22"/>
              </w:rPr>
              <w:t xml:space="preserve"> za period 2025. – 2028. godina</w:t>
            </w:r>
            <w:r w:rsidR="00140CE9" w:rsidRPr="000C5CA4">
              <w:rPr>
                <w:b w:val="0"/>
                <w:noProof/>
                <w:webHidden/>
                <w:sz w:val="22"/>
                <w:szCs w:val="22"/>
              </w:rPr>
              <w:tab/>
            </w:r>
            <w:r w:rsidR="00140CE9" w:rsidRPr="000C5CA4">
              <w:rPr>
                <w:b w:val="0"/>
                <w:noProof/>
                <w:webHidden/>
                <w:sz w:val="22"/>
                <w:szCs w:val="22"/>
              </w:rPr>
              <w:fldChar w:fldCharType="begin"/>
            </w:r>
            <w:r w:rsidR="00140CE9" w:rsidRPr="000C5CA4">
              <w:rPr>
                <w:b w:val="0"/>
                <w:noProof/>
                <w:webHidden/>
                <w:sz w:val="22"/>
                <w:szCs w:val="22"/>
              </w:rPr>
              <w:instrText xml:space="preserve"> PAGEREF _Toc200303212 \h </w:instrText>
            </w:r>
            <w:r w:rsidR="00140CE9" w:rsidRPr="000C5CA4">
              <w:rPr>
                <w:b w:val="0"/>
                <w:noProof/>
                <w:webHidden/>
                <w:sz w:val="22"/>
                <w:szCs w:val="22"/>
              </w:rPr>
            </w:r>
            <w:r w:rsidR="00140CE9" w:rsidRPr="000C5CA4">
              <w:rPr>
                <w:b w:val="0"/>
                <w:noProof/>
                <w:webHidden/>
                <w:sz w:val="22"/>
                <w:szCs w:val="22"/>
              </w:rPr>
              <w:fldChar w:fldCharType="separate"/>
            </w:r>
            <w:r w:rsidR="002543E7">
              <w:rPr>
                <w:b w:val="0"/>
                <w:noProof/>
                <w:webHidden/>
                <w:sz w:val="22"/>
                <w:szCs w:val="22"/>
              </w:rPr>
              <w:t>35</w:t>
            </w:r>
            <w:r w:rsidR="00140CE9" w:rsidRPr="000C5CA4">
              <w:rPr>
                <w:b w:val="0"/>
                <w:noProof/>
                <w:webHidden/>
                <w:sz w:val="22"/>
                <w:szCs w:val="22"/>
              </w:rPr>
              <w:fldChar w:fldCharType="end"/>
            </w:r>
          </w:hyperlink>
        </w:p>
        <w:p w14:paraId="5627A70B" w14:textId="1336597C" w:rsidR="00140CE9" w:rsidRPr="000C5CA4" w:rsidRDefault="00B03B2F" w:rsidP="00140CE9">
          <w:pPr>
            <w:pStyle w:val="TOC1"/>
            <w:tabs>
              <w:tab w:val="left" w:pos="480"/>
              <w:tab w:val="right" w:leader="dot" w:pos="9020"/>
            </w:tabs>
            <w:spacing w:before="0"/>
            <w:rPr>
              <w:rFonts w:eastAsiaTheme="minorEastAsia" w:cstheme="minorBidi"/>
              <w:b w:val="0"/>
              <w:bCs w:val="0"/>
              <w:caps w:val="0"/>
              <w:noProof/>
              <w:sz w:val="22"/>
              <w:szCs w:val="22"/>
              <w:lang w:eastAsia="bs-Latn-BA"/>
            </w:rPr>
          </w:pPr>
          <w:hyperlink w:anchor="_Toc200303213" w:history="1">
            <w:r w:rsidR="00140CE9" w:rsidRPr="000C5CA4">
              <w:rPr>
                <w:rStyle w:val="Hyperlink"/>
                <w:b w:val="0"/>
                <w:noProof/>
                <w:sz w:val="22"/>
                <w:szCs w:val="22"/>
              </w:rPr>
              <w:t>V.</w:t>
            </w:r>
            <w:r w:rsidR="00140CE9" w:rsidRPr="000C5CA4">
              <w:rPr>
                <w:rFonts w:eastAsiaTheme="minorEastAsia" w:cstheme="minorBidi"/>
                <w:b w:val="0"/>
                <w:bCs w:val="0"/>
                <w:caps w:val="0"/>
                <w:noProof/>
                <w:sz w:val="22"/>
                <w:szCs w:val="22"/>
                <w:lang w:eastAsia="bs-Latn-BA"/>
              </w:rPr>
              <w:tab/>
            </w:r>
            <w:r w:rsidR="00140CE9" w:rsidRPr="000C5CA4">
              <w:rPr>
                <w:rStyle w:val="Hyperlink"/>
                <w:b w:val="0"/>
                <w:noProof/>
                <w:sz w:val="22"/>
                <w:szCs w:val="22"/>
              </w:rPr>
              <w:t>Monitoring i evaluacija Gender akcionog plana</w:t>
            </w:r>
            <w:r w:rsidR="00140CE9" w:rsidRPr="000C5CA4">
              <w:rPr>
                <w:b w:val="0"/>
                <w:noProof/>
                <w:webHidden/>
                <w:sz w:val="22"/>
                <w:szCs w:val="22"/>
              </w:rPr>
              <w:tab/>
            </w:r>
            <w:r w:rsidR="00140CE9" w:rsidRPr="000C5CA4">
              <w:rPr>
                <w:b w:val="0"/>
                <w:noProof/>
                <w:webHidden/>
                <w:sz w:val="22"/>
                <w:szCs w:val="22"/>
              </w:rPr>
              <w:fldChar w:fldCharType="begin"/>
            </w:r>
            <w:r w:rsidR="00140CE9" w:rsidRPr="000C5CA4">
              <w:rPr>
                <w:b w:val="0"/>
                <w:noProof/>
                <w:webHidden/>
                <w:sz w:val="22"/>
                <w:szCs w:val="22"/>
              </w:rPr>
              <w:instrText xml:space="preserve"> PAGEREF _Toc200303213 \h </w:instrText>
            </w:r>
            <w:r w:rsidR="00140CE9" w:rsidRPr="000C5CA4">
              <w:rPr>
                <w:b w:val="0"/>
                <w:noProof/>
                <w:webHidden/>
                <w:sz w:val="22"/>
                <w:szCs w:val="22"/>
              </w:rPr>
            </w:r>
            <w:r w:rsidR="00140CE9" w:rsidRPr="000C5CA4">
              <w:rPr>
                <w:b w:val="0"/>
                <w:noProof/>
                <w:webHidden/>
                <w:sz w:val="22"/>
                <w:szCs w:val="22"/>
              </w:rPr>
              <w:fldChar w:fldCharType="separate"/>
            </w:r>
            <w:r w:rsidR="002543E7">
              <w:rPr>
                <w:b w:val="0"/>
                <w:noProof/>
                <w:webHidden/>
                <w:sz w:val="22"/>
                <w:szCs w:val="22"/>
              </w:rPr>
              <w:t>56</w:t>
            </w:r>
            <w:r w:rsidR="00140CE9" w:rsidRPr="000C5CA4">
              <w:rPr>
                <w:b w:val="0"/>
                <w:noProof/>
                <w:webHidden/>
                <w:sz w:val="22"/>
                <w:szCs w:val="22"/>
              </w:rPr>
              <w:fldChar w:fldCharType="end"/>
            </w:r>
          </w:hyperlink>
        </w:p>
        <w:p w14:paraId="4A402331" w14:textId="4112EF83" w:rsidR="00140CE9" w:rsidRPr="000C5CA4" w:rsidRDefault="00B03B2F" w:rsidP="00140CE9">
          <w:pPr>
            <w:pStyle w:val="TOC1"/>
            <w:tabs>
              <w:tab w:val="left" w:pos="480"/>
              <w:tab w:val="right" w:leader="dot" w:pos="9020"/>
            </w:tabs>
            <w:spacing w:before="0"/>
            <w:rPr>
              <w:rFonts w:eastAsiaTheme="minorEastAsia" w:cstheme="minorBidi"/>
              <w:b w:val="0"/>
              <w:bCs w:val="0"/>
              <w:caps w:val="0"/>
              <w:noProof/>
              <w:sz w:val="22"/>
              <w:szCs w:val="22"/>
              <w:lang w:eastAsia="bs-Latn-BA"/>
            </w:rPr>
          </w:pPr>
          <w:hyperlink w:anchor="_Toc200303214" w:history="1">
            <w:r w:rsidR="00140CE9" w:rsidRPr="000C5CA4">
              <w:rPr>
                <w:rStyle w:val="Hyperlink"/>
                <w:b w:val="0"/>
                <w:noProof/>
                <w:sz w:val="22"/>
                <w:szCs w:val="22"/>
              </w:rPr>
              <w:t>VI.</w:t>
            </w:r>
            <w:r w:rsidR="00140CE9" w:rsidRPr="000C5CA4">
              <w:rPr>
                <w:rFonts w:eastAsiaTheme="minorEastAsia" w:cstheme="minorBidi"/>
                <w:b w:val="0"/>
                <w:bCs w:val="0"/>
                <w:caps w:val="0"/>
                <w:noProof/>
                <w:sz w:val="22"/>
                <w:szCs w:val="22"/>
                <w:lang w:eastAsia="bs-Latn-BA"/>
              </w:rPr>
              <w:tab/>
            </w:r>
            <w:r w:rsidR="00140CE9" w:rsidRPr="000C5CA4">
              <w:rPr>
                <w:rStyle w:val="Hyperlink"/>
                <w:b w:val="0"/>
                <w:noProof/>
                <w:sz w:val="22"/>
                <w:szCs w:val="22"/>
              </w:rPr>
              <w:t>Osnovni pojmovi i definicije ravnopravnosti spolova</w:t>
            </w:r>
            <w:r w:rsidR="00140CE9" w:rsidRPr="000C5CA4">
              <w:rPr>
                <w:b w:val="0"/>
                <w:noProof/>
                <w:webHidden/>
                <w:sz w:val="22"/>
                <w:szCs w:val="22"/>
              </w:rPr>
              <w:tab/>
            </w:r>
            <w:r w:rsidR="00140CE9" w:rsidRPr="000C5CA4">
              <w:rPr>
                <w:b w:val="0"/>
                <w:noProof/>
                <w:webHidden/>
                <w:sz w:val="22"/>
                <w:szCs w:val="22"/>
              </w:rPr>
              <w:fldChar w:fldCharType="begin"/>
            </w:r>
            <w:r w:rsidR="00140CE9" w:rsidRPr="000C5CA4">
              <w:rPr>
                <w:b w:val="0"/>
                <w:noProof/>
                <w:webHidden/>
                <w:sz w:val="22"/>
                <w:szCs w:val="22"/>
              </w:rPr>
              <w:instrText xml:space="preserve"> PAGEREF _Toc200303214 \h </w:instrText>
            </w:r>
            <w:r w:rsidR="00140CE9" w:rsidRPr="000C5CA4">
              <w:rPr>
                <w:b w:val="0"/>
                <w:noProof/>
                <w:webHidden/>
                <w:sz w:val="22"/>
                <w:szCs w:val="22"/>
              </w:rPr>
            </w:r>
            <w:r w:rsidR="00140CE9" w:rsidRPr="000C5CA4">
              <w:rPr>
                <w:b w:val="0"/>
                <w:noProof/>
                <w:webHidden/>
                <w:sz w:val="22"/>
                <w:szCs w:val="22"/>
              </w:rPr>
              <w:fldChar w:fldCharType="separate"/>
            </w:r>
            <w:r w:rsidR="002543E7">
              <w:rPr>
                <w:b w:val="0"/>
                <w:noProof/>
                <w:webHidden/>
                <w:sz w:val="22"/>
                <w:szCs w:val="22"/>
              </w:rPr>
              <w:t>57</w:t>
            </w:r>
            <w:r w:rsidR="00140CE9" w:rsidRPr="000C5CA4">
              <w:rPr>
                <w:b w:val="0"/>
                <w:noProof/>
                <w:webHidden/>
                <w:sz w:val="22"/>
                <w:szCs w:val="22"/>
              </w:rPr>
              <w:fldChar w:fldCharType="end"/>
            </w:r>
          </w:hyperlink>
        </w:p>
        <w:p w14:paraId="62C7211B" w14:textId="492BD131" w:rsidR="00DD3E49" w:rsidRPr="000C5CA4" w:rsidRDefault="00361471" w:rsidP="00140CE9">
          <w:pPr>
            <w:pStyle w:val="TOC1"/>
            <w:tabs>
              <w:tab w:val="left" w:pos="480"/>
              <w:tab w:val="right" w:pos="9020"/>
            </w:tabs>
            <w:spacing w:before="0" w:line="276" w:lineRule="auto"/>
            <w:rPr>
              <w:b w:val="0"/>
              <w:i/>
              <w:sz w:val="22"/>
              <w:szCs w:val="22"/>
            </w:rPr>
          </w:pPr>
          <w:r w:rsidRPr="000C5CA4">
            <w:rPr>
              <w:b w:val="0"/>
              <w:i/>
              <w:sz w:val="22"/>
              <w:szCs w:val="22"/>
            </w:rPr>
            <w:fldChar w:fldCharType="end"/>
          </w:r>
        </w:p>
      </w:sdtContent>
    </w:sdt>
    <w:p w14:paraId="4269CFD1" w14:textId="163106D9" w:rsidR="00B51070" w:rsidRPr="000C5CA4" w:rsidRDefault="00B51070" w:rsidP="00672AC4">
      <w:pPr>
        <w:spacing w:line="276" w:lineRule="auto"/>
        <w:rPr>
          <w:sz w:val="22"/>
          <w:szCs w:val="20"/>
        </w:rPr>
      </w:pPr>
    </w:p>
    <w:p w14:paraId="263ECFE5" w14:textId="600A3A68" w:rsidR="00ED28FE" w:rsidRPr="000C5CA4" w:rsidRDefault="00ED28FE" w:rsidP="00672AC4">
      <w:pPr>
        <w:spacing w:line="276" w:lineRule="auto"/>
        <w:rPr>
          <w:sz w:val="22"/>
          <w:szCs w:val="20"/>
        </w:rPr>
      </w:pPr>
    </w:p>
    <w:p w14:paraId="6162F019" w14:textId="77777777" w:rsidR="00ED28FE" w:rsidRPr="000C5CA4" w:rsidRDefault="00ED28FE" w:rsidP="00672AC4">
      <w:pPr>
        <w:spacing w:line="276" w:lineRule="auto"/>
        <w:rPr>
          <w:sz w:val="22"/>
          <w:szCs w:val="20"/>
        </w:rPr>
      </w:pPr>
    </w:p>
    <w:p w14:paraId="7BDBF26A" w14:textId="77777777" w:rsidR="00ED28FE" w:rsidRPr="000C5CA4" w:rsidRDefault="00ED28FE" w:rsidP="00672AC4">
      <w:pPr>
        <w:spacing w:line="276" w:lineRule="auto"/>
        <w:rPr>
          <w:sz w:val="22"/>
          <w:szCs w:val="20"/>
        </w:rPr>
      </w:pPr>
    </w:p>
    <w:p w14:paraId="6F142246" w14:textId="77777777" w:rsidR="00ED28FE" w:rsidRPr="000C5CA4" w:rsidRDefault="00ED28FE" w:rsidP="00672AC4">
      <w:pPr>
        <w:spacing w:line="276" w:lineRule="auto"/>
        <w:rPr>
          <w:sz w:val="22"/>
          <w:szCs w:val="20"/>
        </w:rPr>
      </w:pPr>
    </w:p>
    <w:p w14:paraId="5E9D70C5" w14:textId="77777777" w:rsidR="00ED28FE" w:rsidRPr="000C5CA4" w:rsidRDefault="00ED28FE" w:rsidP="00672AC4">
      <w:pPr>
        <w:spacing w:line="276" w:lineRule="auto"/>
        <w:rPr>
          <w:sz w:val="22"/>
          <w:szCs w:val="20"/>
        </w:rPr>
      </w:pPr>
    </w:p>
    <w:p w14:paraId="5BEA37CB" w14:textId="77777777" w:rsidR="00ED28FE" w:rsidRPr="000C5CA4" w:rsidRDefault="00ED28FE" w:rsidP="00672AC4">
      <w:pPr>
        <w:spacing w:line="276" w:lineRule="auto"/>
        <w:rPr>
          <w:sz w:val="22"/>
          <w:szCs w:val="20"/>
        </w:rPr>
      </w:pPr>
    </w:p>
    <w:p w14:paraId="05BEBEFA" w14:textId="77777777" w:rsidR="00ED28FE" w:rsidRPr="000C5CA4" w:rsidRDefault="00ED28FE" w:rsidP="00672AC4">
      <w:pPr>
        <w:spacing w:line="276" w:lineRule="auto"/>
        <w:rPr>
          <w:sz w:val="22"/>
          <w:szCs w:val="20"/>
        </w:rPr>
      </w:pPr>
    </w:p>
    <w:p w14:paraId="05C4A337" w14:textId="77777777" w:rsidR="00ED28FE" w:rsidRPr="000C5CA4" w:rsidRDefault="00ED28FE" w:rsidP="00672AC4">
      <w:pPr>
        <w:spacing w:line="276" w:lineRule="auto"/>
        <w:rPr>
          <w:sz w:val="22"/>
          <w:szCs w:val="20"/>
        </w:rPr>
      </w:pPr>
    </w:p>
    <w:p w14:paraId="5FC7A752" w14:textId="77777777" w:rsidR="00ED28FE" w:rsidRPr="000C5CA4" w:rsidRDefault="00ED28FE" w:rsidP="00672AC4">
      <w:pPr>
        <w:spacing w:line="276" w:lineRule="auto"/>
        <w:rPr>
          <w:sz w:val="22"/>
          <w:szCs w:val="20"/>
        </w:rPr>
      </w:pPr>
    </w:p>
    <w:p w14:paraId="6490C51C" w14:textId="77777777" w:rsidR="00ED28FE" w:rsidRPr="000C5CA4" w:rsidRDefault="00ED28FE" w:rsidP="00672AC4">
      <w:pPr>
        <w:spacing w:line="276" w:lineRule="auto"/>
        <w:rPr>
          <w:sz w:val="22"/>
          <w:szCs w:val="20"/>
        </w:rPr>
      </w:pPr>
    </w:p>
    <w:p w14:paraId="7506C706" w14:textId="4FC06FD3" w:rsidR="00ED28FE" w:rsidRPr="000C5CA4" w:rsidRDefault="00ED28FE" w:rsidP="00672AC4">
      <w:pPr>
        <w:spacing w:line="276" w:lineRule="auto"/>
        <w:rPr>
          <w:sz w:val="22"/>
          <w:szCs w:val="20"/>
        </w:rPr>
      </w:pPr>
    </w:p>
    <w:p w14:paraId="248EDDC7" w14:textId="2AB75BE2" w:rsidR="00ED28FE" w:rsidRPr="000C5CA4" w:rsidRDefault="00ED28FE" w:rsidP="00672AC4">
      <w:pPr>
        <w:spacing w:line="276" w:lineRule="auto"/>
        <w:rPr>
          <w:sz w:val="22"/>
          <w:szCs w:val="20"/>
        </w:rPr>
      </w:pPr>
      <w:r w:rsidRPr="000C5CA4">
        <w:rPr>
          <w:sz w:val="22"/>
          <w:szCs w:val="20"/>
        </w:rPr>
        <w:tab/>
      </w:r>
    </w:p>
    <w:p w14:paraId="574CB6E8" w14:textId="77777777" w:rsidR="00ED28FE" w:rsidRPr="000C5CA4" w:rsidRDefault="00ED28FE" w:rsidP="00672AC4">
      <w:pPr>
        <w:spacing w:line="276" w:lineRule="auto"/>
        <w:rPr>
          <w:sz w:val="22"/>
          <w:szCs w:val="20"/>
        </w:rPr>
      </w:pPr>
      <w:r w:rsidRPr="000C5CA4">
        <w:rPr>
          <w:sz w:val="22"/>
          <w:szCs w:val="20"/>
        </w:rPr>
        <w:br w:type="page"/>
      </w:r>
    </w:p>
    <w:p w14:paraId="12122626" w14:textId="5FDA0E15" w:rsidR="00ED28FE" w:rsidRPr="000C5CA4" w:rsidRDefault="00ED28FE" w:rsidP="00D550E6">
      <w:pPr>
        <w:pStyle w:val="Heading1"/>
        <w:numPr>
          <w:ilvl w:val="0"/>
          <w:numId w:val="8"/>
        </w:numPr>
        <w:rPr>
          <w:sz w:val="22"/>
          <w:szCs w:val="22"/>
        </w:rPr>
      </w:pPr>
      <w:bookmarkStart w:id="1" w:name="_Toc73392268"/>
      <w:bookmarkStart w:id="2" w:name="_Toc74118433"/>
      <w:bookmarkStart w:id="3" w:name="_Toc79420452"/>
      <w:bookmarkStart w:id="4" w:name="_Toc200303199"/>
      <w:r w:rsidRPr="000C5CA4">
        <w:rPr>
          <w:sz w:val="22"/>
          <w:szCs w:val="22"/>
        </w:rPr>
        <w:lastRenderedPageBreak/>
        <w:t>Uvod</w:t>
      </w:r>
      <w:bookmarkEnd w:id="1"/>
      <w:bookmarkEnd w:id="2"/>
      <w:bookmarkEnd w:id="3"/>
      <w:bookmarkEnd w:id="4"/>
    </w:p>
    <w:p w14:paraId="5D4E366D" w14:textId="77777777" w:rsidR="00ED28FE" w:rsidRPr="000C5CA4" w:rsidRDefault="00ED28FE" w:rsidP="00672AC4">
      <w:pPr>
        <w:pStyle w:val="BodyText"/>
        <w:rPr>
          <w:sz w:val="22"/>
          <w:szCs w:val="20"/>
        </w:rPr>
      </w:pPr>
    </w:p>
    <w:p w14:paraId="1C8ADD66" w14:textId="77777777" w:rsidR="00ED28FE" w:rsidRPr="000C5CA4" w:rsidRDefault="00ED28FE" w:rsidP="00672AC4">
      <w:pPr>
        <w:spacing w:line="276" w:lineRule="auto"/>
        <w:rPr>
          <w:sz w:val="22"/>
          <w:szCs w:val="20"/>
        </w:rPr>
      </w:pPr>
      <w:r w:rsidRPr="000C5CA4">
        <w:rPr>
          <w:sz w:val="22"/>
          <w:szCs w:val="20"/>
        </w:rPr>
        <w:t xml:space="preserve">Ustav BiH garantira visok stepen međunarodno priznatih ljudskih prava i osnovnih sloboda jer sadrži 15 najvažnijih instrumenata za zaštitu ljudskih prava, među kojima je i CEDAW čime se BiH obavezuje da primjeni najviše međunarodno priznate standarde ljudskih prava. Ustav FBIH također garantuje visok stepen ljudskih prava i daje ustavnu snagu pravima koji su zagarantovani u međunarodnim sporazumima koji su nabrojani u aneksu Ustava FBiH. Pored općih standarda od posebnog značaja za Gender akcioni plan je Međunarodna konvencija o ukidanju svih oblika diskriminacije žena iz 1979. godine budući da prava zagarantovana u ovom sporazumu također imaju ustavnu snagu. </w:t>
      </w:r>
    </w:p>
    <w:p w14:paraId="165C57D1" w14:textId="77777777" w:rsidR="00ED28FE" w:rsidRPr="000C5CA4" w:rsidRDefault="00ED28FE" w:rsidP="00672AC4">
      <w:pPr>
        <w:spacing w:line="276" w:lineRule="auto"/>
        <w:rPr>
          <w:sz w:val="22"/>
          <w:szCs w:val="20"/>
        </w:rPr>
      </w:pPr>
    </w:p>
    <w:p w14:paraId="6FA1A485" w14:textId="0734735B" w:rsidR="00ED28FE" w:rsidRPr="000C5CA4" w:rsidRDefault="00ED28FE" w:rsidP="00672AC4">
      <w:pPr>
        <w:spacing w:line="276" w:lineRule="auto"/>
        <w:rPr>
          <w:b/>
          <w:sz w:val="22"/>
          <w:szCs w:val="20"/>
        </w:rPr>
      </w:pPr>
      <w:r w:rsidRPr="000C5CA4">
        <w:rPr>
          <w:b/>
          <w:sz w:val="22"/>
          <w:szCs w:val="20"/>
        </w:rPr>
        <w:t xml:space="preserve">Ustav </w:t>
      </w:r>
      <w:r w:rsidR="00D421FF" w:rsidRPr="000C5CA4">
        <w:rPr>
          <w:b/>
          <w:sz w:val="22"/>
          <w:szCs w:val="20"/>
        </w:rPr>
        <w:t xml:space="preserve">Tuzlanskog kantona </w:t>
      </w:r>
      <w:r w:rsidRPr="000C5CA4">
        <w:rPr>
          <w:b/>
          <w:sz w:val="22"/>
          <w:szCs w:val="20"/>
        </w:rPr>
        <w:t xml:space="preserve">također garantuje najviši stepen ljudskih prava i osnovnih sloboda preuzimajući standarde koji su sastavni dio Ustava BiH i Ustava FBiH. Zbog toga, Gender akcioni plan </w:t>
      </w:r>
      <w:r w:rsidR="00D421FF" w:rsidRPr="000C5CA4">
        <w:rPr>
          <w:b/>
          <w:sz w:val="22"/>
          <w:szCs w:val="20"/>
        </w:rPr>
        <w:t>TK</w:t>
      </w:r>
      <w:r w:rsidRPr="000C5CA4">
        <w:rPr>
          <w:b/>
          <w:sz w:val="22"/>
          <w:szCs w:val="20"/>
        </w:rPr>
        <w:t xml:space="preserve"> doprinosi ostvarivanju ljudskih prava i sloboda koji imaju snagu ustavnih odredbi </w:t>
      </w:r>
      <w:r w:rsidR="00D421FF" w:rsidRPr="000C5CA4">
        <w:rPr>
          <w:b/>
          <w:sz w:val="22"/>
          <w:szCs w:val="20"/>
        </w:rPr>
        <w:t>TK</w:t>
      </w:r>
      <w:r w:rsidRPr="000C5CA4">
        <w:rPr>
          <w:b/>
          <w:sz w:val="22"/>
          <w:szCs w:val="20"/>
        </w:rPr>
        <w:t>.</w:t>
      </w:r>
    </w:p>
    <w:p w14:paraId="273179FB" w14:textId="4B159CD2" w:rsidR="00ED28FE" w:rsidRPr="000C5CA4" w:rsidRDefault="00ED28FE" w:rsidP="00672AC4">
      <w:pPr>
        <w:spacing w:line="276" w:lineRule="auto"/>
        <w:rPr>
          <w:sz w:val="22"/>
          <w:szCs w:val="20"/>
        </w:rPr>
      </w:pPr>
    </w:p>
    <w:p w14:paraId="302148CF" w14:textId="77777777" w:rsidR="00ED28FE" w:rsidRPr="000C5CA4" w:rsidRDefault="00ED28FE" w:rsidP="00672AC4">
      <w:pPr>
        <w:spacing w:line="276" w:lineRule="auto"/>
        <w:rPr>
          <w:sz w:val="22"/>
          <w:szCs w:val="20"/>
        </w:rPr>
      </w:pPr>
      <w:r w:rsidRPr="000C5CA4">
        <w:rPr>
          <w:sz w:val="22"/>
          <w:szCs w:val="20"/>
        </w:rPr>
        <w:t xml:space="preserve">Ujedinjene nacije (UN) kao i države članice UN imaju, u skladu s Poveljom UN, obavezu da promoviraju prava čovjeka, dostojanstvo i vrijednost čovjekove ličnosti bez ikakve diskriminacije, što uključuje i zabranu diskriminacije na osnovi spola. Države članice su obavezne poštovati i promovirati ljudska prava i slobode kao osnove ekonomskog razvoja, mira i međunarodne sigurnosti. Nastavljajući pravnu tradiciju bivše Jugoslavije, ove obaveze je preuzela Bosna i Hercegovina kao članica UN od 22. maja 1992. godine. Na nivou Ujedinjenih nacija najvažniji dokumenti iz oblasti ravnopravnosti spolova je Konvencija o ukidanju svih oblika diskriminacije žena – CEDAW. </w:t>
      </w:r>
    </w:p>
    <w:p w14:paraId="07F2F0A3" w14:textId="77777777" w:rsidR="00ED28FE" w:rsidRPr="000C5CA4" w:rsidRDefault="00ED28FE" w:rsidP="00672AC4">
      <w:pPr>
        <w:spacing w:line="276" w:lineRule="auto"/>
        <w:rPr>
          <w:sz w:val="22"/>
          <w:szCs w:val="20"/>
        </w:rPr>
      </w:pPr>
    </w:p>
    <w:p w14:paraId="0E0662FA" w14:textId="77777777" w:rsidR="00ED28FE" w:rsidRPr="000C5CA4" w:rsidRDefault="00ED28FE" w:rsidP="00672AC4">
      <w:pPr>
        <w:spacing w:line="276" w:lineRule="auto"/>
        <w:rPr>
          <w:sz w:val="22"/>
          <w:szCs w:val="20"/>
        </w:rPr>
      </w:pPr>
      <w:r w:rsidRPr="000C5CA4">
        <w:rPr>
          <w:sz w:val="22"/>
          <w:szCs w:val="20"/>
        </w:rPr>
        <w:t>Ravnopravnost spolova je osnovno pravo, zajednička vrijednost cijele Evropske unije, i predstavlja neophodan uslov za postizanje ciljeva Evropske unije koji se tiču razvoja, zapošljavanja i socijalne kohezije. Princip ravnopravnosti polova i jednakog tretmana i jednakih mogućnosti za žene i muškarce je jedan od osnovnih pravnih principa Evropske unije, sadržan u osnivačkom ugovoru, kao i u mnogim direktivama, koje su transpozicijom inkorporisane u unutrašnje zakonodavstvo država članica.</w:t>
      </w:r>
    </w:p>
    <w:p w14:paraId="260FC86B" w14:textId="77777777" w:rsidR="00ED28FE" w:rsidRPr="000C5CA4" w:rsidRDefault="00ED28FE" w:rsidP="00672AC4">
      <w:pPr>
        <w:spacing w:line="276" w:lineRule="auto"/>
        <w:rPr>
          <w:sz w:val="22"/>
          <w:szCs w:val="20"/>
        </w:rPr>
      </w:pPr>
    </w:p>
    <w:p w14:paraId="4688822B" w14:textId="77777777" w:rsidR="00ED28FE" w:rsidRPr="000C5CA4" w:rsidRDefault="00ED28FE" w:rsidP="00672AC4">
      <w:pPr>
        <w:spacing w:line="276" w:lineRule="auto"/>
        <w:rPr>
          <w:b/>
          <w:sz w:val="22"/>
          <w:szCs w:val="20"/>
        </w:rPr>
      </w:pPr>
      <w:r w:rsidRPr="000C5CA4">
        <w:rPr>
          <w:b/>
          <w:sz w:val="22"/>
          <w:szCs w:val="20"/>
        </w:rPr>
        <w:t>Zakon o ravnopravnosti spolova u BiH i obaveza djelovanja za ravnopravnost spolova</w:t>
      </w:r>
    </w:p>
    <w:p w14:paraId="7DF68887" w14:textId="2B5B2F63" w:rsidR="00ED28FE" w:rsidRPr="000C5CA4" w:rsidRDefault="00ED28FE" w:rsidP="00672AC4">
      <w:pPr>
        <w:spacing w:line="276" w:lineRule="auto"/>
        <w:rPr>
          <w:sz w:val="22"/>
          <w:szCs w:val="20"/>
        </w:rPr>
      </w:pPr>
      <w:r w:rsidRPr="000C5CA4">
        <w:rPr>
          <w:sz w:val="22"/>
          <w:szCs w:val="20"/>
        </w:rPr>
        <w:t>Zakon o ravnopravnosti spolova u BiH</w:t>
      </w:r>
      <w:r w:rsidRPr="000C5CA4">
        <w:rPr>
          <w:rStyle w:val="FootnoteReference"/>
          <w:rFonts w:cs="Arial"/>
          <w:sz w:val="22"/>
        </w:rPr>
        <w:footnoteReference w:id="1"/>
      </w:r>
      <w:r w:rsidRPr="000C5CA4">
        <w:rPr>
          <w:sz w:val="22"/>
          <w:szCs w:val="20"/>
        </w:rPr>
        <w:t xml:space="preserve"> (ZoRS BiH) donesen je 2003. u BiH, a izmijenjen i dopunjen je 2009.</w:t>
      </w:r>
      <w:r w:rsidR="0053095C" w:rsidRPr="000C5CA4">
        <w:rPr>
          <w:sz w:val="22"/>
          <w:szCs w:val="20"/>
        </w:rPr>
        <w:t xml:space="preserve"> godine</w:t>
      </w:r>
      <w:r w:rsidRPr="000C5CA4">
        <w:rPr>
          <w:sz w:val="22"/>
          <w:szCs w:val="20"/>
        </w:rPr>
        <w:t>, čime su pravni standardi ravnopravnost spolova utvrđeni Konvencijom o ukidanju svih oblika diskriminacije žena postali sastavni dio pravnog sistema BiH. Zakon je najvažniji instrument za razvijanje svijesti o pitanjima ravnopravnosti spolova i uvođenje principa ravnopravnosti spolova u javne politike i propise. Ovaj zakon uređuje, promovira i štiti ravnopravnost spolova i zabranjuje diskriminaciju, te jamči jednake mogućnosti svim građanima/kama, kako u javnoj tako i u privatnoj sferi života. Ciljevi Zakona u pogledu zabrane diskriminacije i osiguranja ravnopravnosti spolova su prikazani shematski ispod.</w:t>
      </w:r>
    </w:p>
    <w:p w14:paraId="75E0AC3C" w14:textId="77777777" w:rsidR="00ED28FE" w:rsidRPr="000C5CA4" w:rsidRDefault="00ED28FE" w:rsidP="00672AC4">
      <w:pPr>
        <w:spacing w:line="276" w:lineRule="auto"/>
        <w:rPr>
          <w:sz w:val="22"/>
          <w:szCs w:val="20"/>
        </w:rPr>
      </w:pPr>
    </w:p>
    <w:p w14:paraId="473C6A1D" w14:textId="77777777" w:rsidR="00ED28FE" w:rsidRPr="000C5CA4" w:rsidRDefault="00ED28FE" w:rsidP="00672AC4">
      <w:pPr>
        <w:spacing w:line="276" w:lineRule="auto"/>
        <w:rPr>
          <w:sz w:val="22"/>
          <w:szCs w:val="20"/>
        </w:rPr>
      </w:pPr>
      <w:r w:rsidRPr="000C5CA4">
        <w:rPr>
          <w:noProof/>
          <w:sz w:val="22"/>
          <w:szCs w:val="20"/>
          <w:lang w:eastAsia="bs-Latn-BA"/>
        </w:rPr>
        <w:lastRenderedPageBreak/>
        <w:drawing>
          <wp:inline distT="0" distB="0" distL="0" distR="0" wp14:anchorId="0FA31D8E" wp14:editId="57910420">
            <wp:extent cx="5613991" cy="1913860"/>
            <wp:effectExtent l="0" t="38100" r="0" b="8699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3BFBF29" w14:textId="77777777" w:rsidR="00ED28FE" w:rsidRPr="000C5CA4" w:rsidRDefault="00ED28FE" w:rsidP="00672AC4">
      <w:pPr>
        <w:spacing w:line="276" w:lineRule="auto"/>
        <w:rPr>
          <w:sz w:val="22"/>
          <w:szCs w:val="20"/>
        </w:rPr>
      </w:pPr>
      <w:r w:rsidRPr="000C5CA4">
        <w:rPr>
          <w:sz w:val="22"/>
          <w:szCs w:val="20"/>
        </w:rPr>
        <w:t xml:space="preserve">Pored toga, Zakon obavezuje sva državna tijela, na svim nivoima organizacije vlasti, i tijela </w:t>
      </w:r>
      <w:r w:rsidRPr="000C5CA4">
        <w:rPr>
          <w:sz w:val="22"/>
          <w:szCs w:val="20"/>
          <w:u w:color="92D050"/>
        </w:rPr>
        <w:t>lokal</w:t>
      </w:r>
      <w:r w:rsidRPr="000C5CA4">
        <w:rPr>
          <w:sz w:val="22"/>
          <w:szCs w:val="20"/>
        </w:rPr>
        <w:t xml:space="preserve">ne samouprave, uključujući zakonodavnu, izvršnu i sudsku vlast, političke stranke, pravna lica s javnim ovlaštenjima, pravna lica koja su u vlasništvu ili pod kontrolom države, entiteta, kantona, grada ili </w:t>
      </w:r>
      <w:r w:rsidRPr="000C5CA4">
        <w:rPr>
          <w:sz w:val="22"/>
          <w:szCs w:val="20"/>
          <w:u w:color="92D050"/>
        </w:rPr>
        <w:t>općin</w:t>
      </w:r>
      <w:r w:rsidRPr="000C5CA4">
        <w:rPr>
          <w:sz w:val="22"/>
          <w:szCs w:val="20"/>
        </w:rPr>
        <w:t>e ili nad čijim radom javni organ vrši kontrolu, da osiguraju i promoviraju ravnopravnu zastupljenost spolova u upravljanju, procesu odlučivanja i predstavljanju.</w:t>
      </w:r>
    </w:p>
    <w:p w14:paraId="1E1585ED" w14:textId="77777777" w:rsidR="00ED28FE" w:rsidRPr="000C5CA4" w:rsidRDefault="00ED28FE" w:rsidP="00672AC4">
      <w:pPr>
        <w:spacing w:line="276" w:lineRule="auto"/>
        <w:rPr>
          <w:sz w:val="22"/>
          <w:szCs w:val="20"/>
        </w:rPr>
      </w:pPr>
    </w:p>
    <w:p w14:paraId="3ABF9CA8" w14:textId="77777777" w:rsidR="00ED28FE" w:rsidRPr="000C5CA4" w:rsidRDefault="00ED28FE" w:rsidP="00672AC4">
      <w:pPr>
        <w:spacing w:line="276" w:lineRule="auto"/>
        <w:rPr>
          <w:sz w:val="22"/>
          <w:szCs w:val="20"/>
        </w:rPr>
      </w:pPr>
      <w:r w:rsidRPr="000C5CA4">
        <w:rPr>
          <w:sz w:val="22"/>
          <w:szCs w:val="20"/>
        </w:rPr>
        <w:t>Prema Zakonu o ravnopravnosti spolova u Bosni i Hercegovini (član 24.) obaveza svakog nivoa vlasti se sastoji od sljedećih segmenata:</w:t>
      </w:r>
    </w:p>
    <w:p w14:paraId="63E99E6A" w14:textId="77777777" w:rsidR="00ED28FE" w:rsidRPr="000C5CA4" w:rsidRDefault="00ED28FE" w:rsidP="00D550E6">
      <w:pPr>
        <w:pStyle w:val="ListParagraph"/>
        <w:numPr>
          <w:ilvl w:val="0"/>
          <w:numId w:val="2"/>
        </w:numPr>
        <w:spacing w:line="276" w:lineRule="auto"/>
        <w:rPr>
          <w:sz w:val="22"/>
          <w:szCs w:val="20"/>
        </w:rPr>
      </w:pPr>
      <w:r w:rsidRPr="000C5CA4">
        <w:rPr>
          <w:sz w:val="22"/>
          <w:szCs w:val="20"/>
        </w:rPr>
        <w:t xml:space="preserve">analizu stanja spolova u određenoj oblasti; </w:t>
      </w:r>
    </w:p>
    <w:p w14:paraId="146F29FE" w14:textId="77777777" w:rsidR="00ED28FE" w:rsidRPr="000C5CA4" w:rsidRDefault="00ED28FE" w:rsidP="00D550E6">
      <w:pPr>
        <w:pStyle w:val="ListParagraph"/>
        <w:numPr>
          <w:ilvl w:val="0"/>
          <w:numId w:val="2"/>
        </w:numPr>
        <w:spacing w:line="276" w:lineRule="auto"/>
        <w:rPr>
          <w:sz w:val="22"/>
          <w:szCs w:val="20"/>
        </w:rPr>
      </w:pPr>
      <w:r w:rsidRPr="000C5CA4">
        <w:rPr>
          <w:sz w:val="22"/>
          <w:szCs w:val="20"/>
        </w:rPr>
        <w:t xml:space="preserve">implementaciju donesenih državnih politika kroz akcione planove za ravnopravnost spolova; </w:t>
      </w:r>
    </w:p>
    <w:p w14:paraId="07AAB4D1" w14:textId="77777777" w:rsidR="00ED28FE" w:rsidRPr="000C5CA4" w:rsidRDefault="00ED28FE" w:rsidP="00D550E6">
      <w:pPr>
        <w:pStyle w:val="ListParagraph"/>
        <w:numPr>
          <w:ilvl w:val="0"/>
          <w:numId w:val="2"/>
        </w:numPr>
        <w:spacing w:line="276" w:lineRule="auto"/>
        <w:rPr>
          <w:sz w:val="22"/>
          <w:szCs w:val="20"/>
        </w:rPr>
      </w:pPr>
      <w:r w:rsidRPr="000C5CA4">
        <w:rPr>
          <w:sz w:val="22"/>
          <w:szCs w:val="20"/>
        </w:rPr>
        <w:t xml:space="preserve">mjere za otklanjanje uočene neravnopravnosti spolova u određenoj oblasti. </w:t>
      </w:r>
    </w:p>
    <w:p w14:paraId="3AE76A9A" w14:textId="77777777" w:rsidR="00ED28FE" w:rsidRPr="000C5CA4" w:rsidRDefault="00ED28FE" w:rsidP="00672AC4">
      <w:pPr>
        <w:pStyle w:val="BodyText"/>
        <w:rPr>
          <w:sz w:val="22"/>
          <w:szCs w:val="20"/>
        </w:rPr>
      </w:pPr>
    </w:p>
    <w:p w14:paraId="5AF16405" w14:textId="77777777" w:rsidR="00ED28FE" w:rsidRPr="000C5CA4" w:rsidRDefault="00ED28FE" w:rsidP="00672AC4">
      <w:pPr>
        <w:pStyle w:val="BodyText"/>
        <w:rPr>
          <w:sz w:val="22"/>
          <w:szCs w:val="20"/>
        </w:rPr>
      </w:pPr>
      <w:r w:rsidRPr="000C5CA4">
        <w:rPr>
          <w:noProof/>
          <w:sz w:val="22"/>
          <w:szCs w:val="20"/>
          <w:lang w:eastAsia="bs-Latn-BA"/>
        </w:rPr>
        <w:drawing>
          <wp:inline distT="0" distB="0" distL="0" distR="0" wp14:anchorId="5999DAAC" wp14:editId="71581C15">
            <wp:extent cx="5734050" cy="2109178"/>
            <wp:effectExtent l="76200" t="57150" r="95250" b="43815"/>
            <wp:docPr id="32" name="Diagram 3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996F7FE" w14:textId="76CA2715" w:rsidR="00ED28FE" w:rsidRPr="000C5CA4" w:rsidRDefault="00ED28FE" w:rsidP="00672AC4">
      <w:pPr>
        <w:spacing w:line="276" w:lineRule="auto"/>
        <w:rPr>
          <w:sz w:val="22"/>
          <w:szCs w:val="20"/>
        </w:rPr>
      </w:pPr>
      <w:r w:rsidRPr="000C5CA4">
        <w:rPr>
          <w:sz w:val="22"/>
          <w:szCs w:val="20"/>
        </w:rPr>
        <w:t xml:space="preserve">Upravo je ovaj član Zakona o ravnopravnosti spolova osnovni pravni osnov za donošenje Gender akcionog plana </w:t>
      </w:r>
      <w:r w:rsidR="00D421FF" w:rsidRPr="000C5CA4">
        <w:rPr>
          <w:sz w:val="22"/>
          <w:szCs w:val="20"/>
        </w:rPr>
        <w:t>TK</w:t>
      </w:r>
      <w:r w:rsidRPr="000C5CA4">
        <w:rPr>
          <w:sz w:val="22"/>
          <w:szCs w:val="20"/>
        </w:rPr>
        <w:t xml:space="preserve"> budući da se donošenjem ovog akcionog plana osigurava dosljednu primjenu ovog Zakona, ali i drugih obaveza </w:t>
      </w:r>
      <w:r w:rsidRPr="000C5CA4">
        <w:rPr>
          <w:sz w:val="22"/>
          <w:szCs w:val="20"/>
          <w:u w:color="92D050"/>
        </w:rPr>
        <w:t>kantona</w:t>
      </w:r>
      <w:r w:rsidRPr="000C5CA4">
        <w:rPr>
          <w:sz w:val="22"/>
          <w:szCs w:val="20"/>
        </w:rPr>
        <w:t xml:space="preserve"> u pogledu ravnopravnosti spolova. To je također slučaj i sa Gender akcionim planom Bosne i Hercegovine koji prepoznaje značaj djelovanja i ulogu </w:t>
      </w:r>
      <w:r w:rsidRPr="000C5CA4">
        <w:rPr>
          <w:sz w:val="22"/>
          <w:szCs w:val="20"/>
          <w:u w:color="92D050"/>
        </w:rPr>
        <w:t>kantona</w:t>
      </w:r>
      <w:r w:rsidRPr="000C5CA4">
        <w:rPr>
          <w:sz w:val="22"/>
          <w:szCs w:val="20"/>
        </w:rPr>
        <w:t xml:space="preserve"> kada je u pitanju postizanje ravnopravnosti spolova. Kao nosioci odgovornosti u strateškom cilju 1. GAP BiH, a u skladu s nadležnostima </w:t>
      </w:r>
      <w:r w:rsidRPr="000C5CA4">
        <w:rPr>
          <w:sz w:val="22"/>
          <w:szCs w:val="20"/>
          <w:u w:color="92D050"/>
        </w:rPr>
        <w:t>kantona</w:t>
      </w:r>
      <w:r w:rsidRPr="000C5CA4">
        <w:rPr>
          <w:sz w:val="22"/>
          <w:szCs w:val="20"/>
        </w:rPr>
        <w:t xml:space="preserve"> su prepoznata, kantonalna tijela vlasti zajedno sa tijelima odnosno institucijama Federacije BiH kao i institucija BiH.</w:t>
      </w:r>
    </w:p>
    <w:p w14:paraId="2FB4C5DC" w14:textId="77777777" w:rsidR="00ED28FE" w:rsidRPr="000C5CA4" w:rsidRDefault="00ED28FE" w:rsidP="00672AC4">
      <w:pPr>
        <w:spacing w:line="276" w:lineRule="auto"/>
        <w:rPr>
          <w:sz w:val="22"/>
          <w:szCs w:val="20"/>
        </w:rPr>
      </w:pPr>
    </w:p>
    <w:p w14:paraId="451742B1" w14:textId="77777777" w:rsidR="00ED28FE" w:rsidRPr="000C5CA4" w:rsidRDefault="00ED28FE" w:rsidP="00672AC4">
      <w:pPr>
        <w:spacing w:line="276" w:lineRule="auto"/>
        <w:rPr>
          <w:sz w:val="22"/>
          <w:szCs w:val="20"/>
        </w:rPr>
      </w:pPr>
    </w:p>
    <w:p w14:paraId="28665BDD" w14:textId="6975778A" w:rsidR="00ED28FE" w:rsidRPr="000C5CA4" w:rsidRDefault="00ED28FE" w:rsidP="00672AC4">
      <w:pPr>
        <w:pStyle w:val="Heading2"/>
        <w:spacing w:line="276" w:lineRule="auto"/>
        <w:rPr>
          <w:sz w:val="22"/>
          <w:szCs w:val="22"/>
        </w:rPr>
      </w:pPr>
      <w:bookmarkStart w:id="5" w:name="_Toc73392269"/>
      <w:bookmarkStart w:id="6" w:name="_Toc74118434"/>
      <w:bookmarkStart w:id="7" w:name="_Toc79420453"/>
      <w:bookmarkStart w:id="8" w:name="_Toc200303200"/>
      <w:r w:rsidRPr="000C5CA4">
        <w:rPr>
          <w:sz w:val="22"/>
          <w:szCs w:val="22"/>
        </w:rPr>
        <w:t>Institucionalni mehanizmi za ravnopravnost spolova</w:t>
      </w:r>
      <w:bookmarkEnd w:id="5"/>
      <w:bookmarkEnd w:id="6"/>
      <w:bookmarkEnd w:id="7"/>
      <w:bookmarkEnd w:id="8"/>
    </w:p>
    <w:p w14:paraId="79DF05C6" w14:textId="77777777" w:rsidR="00ED28FE" w:rsidRPr="000C5CA4" w:rsidRDefault="00ED28FE" w:rsidP="00672AC4">
      <w:pPr>
        <w:spacing w:line="276" w:lineRule="auto"/>
        <w:rPr>
          <w:sz w:val="22"/>
          <w:szCs w:val="20"/>
        </w:rPr>
      </w:pPr>
    </w:p>
    <w:p w14:paraId="7BED6A9F" w14:textId="77777777" w:rsidR="00ED28FE" w:rsidRPr="000C5CA4" w:rsidRDefault="00ED28FE" w:rsidP="00672AC4">
      <w:pPr>
        <w:spacing w:line="276" w:lineRule="auto"/>
        <w:rPr>
          <w:sz w:val="22"/>
          <w:szCs w:val="20"/>
        </w:rPr>
      </w:pPr>
      <w:r w:rsidRPr="000C5CA4">
        <w:rPr>
          <w:sz w:val="22"/>
          <w:szCs w:val="20"/>
        </w:rPr>
        <w:t xml:space="preserve">Uzimajući u obzir strukturu i ustavom određenu podjelu nadležnosti između različitih nivoa vlasti </w:t>
      </w:r>
      <w:r w:rsidRPr="000C5CA4">
        <w:rPr>
          <w:sz w:val="22"/>
          <w:szCs w:val="20"/>
        </w:rPr>
        <w:lastRenderedPageBreak/>
        <w:t xml:space="preserve">u BiH donošenjem Zakona o ravnopravnosti spolova u BiH, Bosna i Hercegovina se odlučila da osigura mrežu institucionalnih mehanizama za ravnopravnost spolova na svim nivoima vlasti te je utvrđena obaveza svih nivoa vlasti da aktivno djeluju za ravnopravnost spolova i otklanjanje diskriminacije na osnovu spola. Ova obaveza je utvrđena u članu </w:t>
      </w:r>
      <w:r w:rsidRPr="000C5CA4">
        <w:rPr>
          <w:b/>
          <w:sz w:val="22"/>
          <w:szCs w:val="20"/>
        </w:rPr>
        <w:t>24. Zakona o ravnopravnosti spolova u BiH</w:t>
      </w:r>
      <w:r w:rsidRPr="000C5CA4">
        <w:rPr>
          <w:sz w:val="22"/>
          <w:szCs w:val="20"/>
        </w:rPr>
        <w:t xml:space="preserve"> koji glasi:</w:t>
      </w:r>
    </w:p>
    <w:p w14:paraId="5E2052F7" w14:textId="77777777" w:rsidR="00ED28FE" w:rsidRPr="000C5CA4" w:rsidRDefault="00ED28FE" w:rsidP="00672AC4">
      <w:pPr>
        <w:spacing w:line="276" w:lineRule="auto"/>
        <w:rPr>
          <w:sz w:val="22"/>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5" w:themeFillTint="66"/>
        <w:tblLook w:val="04A0" w:firstRow="1" w:lastRow="0" w:firstColumn="1" w:lastColumn="0" w:noHBand="0" w:noVBand="1"/>
      </w:tblPr>
      <w:tblGrid>
        <w:gridCol w:w="9020"/>
      </w:tblGrid>
      <w:tr w:rsidR="00F214E2" w:rsidRPr="000C5CA4" w14:paraId="57DB87CB" w14:textId="77777777" w:rsidTr="0053095C">
        <w:tc>
          <w:tcPr>
            <w:tcW w:w="9020" w:type="dxa"/>
            <w:shd w:val="clear" w:color="auto" w:fill="B4C6E7" w:themeFill="accent5" w:themeFillTint="66"/>
          </w:tcPr>
          <w:p w14:paraId="191BBBA7" w14:textId="77777777" w:rsidR="00ED28FE" w:rsidRPr="000C5CA4" w:rsidRDefault="00ED28FE" w:rsidP="00672AC4">
            <w:pPr>
              <w:pStyle w:val="BodyText"/>
              <w:rPr>
                <w:i/>
                <w:sz w:val="22"/>
              </w:rPr>
            </w:pPr>
            <w:r w:rsidRPr="000C5CA4">
              <w:rPr>
                <w:i/>
                <w:sz w:val="22"/>
              </w:rPr>
              <w:t>Član 24.</w:t>
            </w:r>
          </w:p>
          <w:p w14:paraId="57FABB0D" w14:textId="77777777" w:rsidR="00ED28FE" w:rsidRPr="000C5CA4" w:rsidRDefault="00ED28FE" w:rsidP="00D550E6">
            <w:pPr>
              <w:pStyle w:val="ListParagraph"/>
              <w:numPr>
                <w:ilvl w:val="0"/>
                <w:numId w:val="3"/>
              </w:numPr>
              <w:spacing w:line="276" w:lineRule="auto"/>
              <w:rPr>
                <w:i/>
                <w:sz w:val="22"/>
              </w:rPr>
            </w:pPr>
            <w:r w:rsidRPr="000C5CA4">
              <w:rPr>
                <w:i/>
                <w:sz w:val="22"/>
              </w:rPr>
              <w:t>Nadležni zakonodavni, izvršni i organi uprave svih nivoa vlasti u Bosni i Hercegovini obavezni su osnovati odgovarajuće institucionalne mehanizme za ravnopravnost spolova koji će provoditi Zakon o ravnopravnosti spolova u Bosni i Hercegovini, koordinirati realizaciju programskih ciljeva iz Gender akcionog plana Bosne i Hercegovine i osigurati provođenje međunarodnih standarda u oblasti ravnopravnosti</w:t>
            </w:r>
            <w:r w:rsidRPr="000C5CA4">
              <w:rPr>
                <w:i/>
                <w:spacing w:val="-7"/>
                <w:sz w:val="22"/>
              </w:rPr>
              <w:t xml:space="preserve"> </w:t>
            </w:r>
            <w:r w:rsidRPr="000C5CA4">
              <w:rPr>
                <w:i/>
                <w:sz w:val="22"/>
              </w:rPr>
              <w:t>spolova.</w:t>
            </w:r>
          </w:p>
          <w:p w14:paraId="48E6C334" w14:textId="77777777" w:rsidR="00ED28FE" w:rsidRPr="000C5CA4" w:rsidRDefault="00ED28FE" w:rsidP="00D550E6">
            <w:pPr>
              <w:pStyle w:val="ListParagraph"/>
              <w:numPr>
                <w:ilvl w:val="0"/>
                <w:numId w:val="3"/>
              </w:numPr>
              <w:spacing w:line="276" w:lineRule="auto"/>
              <w:rPr>
                <w:i/>
                <w:sz w:val="22"/>
              </w:rPr>
            </w:pPr>
            <w:r w:rsidRPr="000C5CA4">
              <w:rPr>
                <w:i/>
                <w:sz w:val="22"/>
              </w:rPr>
              <w:t xml:space="preserve">Nadležni državni, entitetski i kantonalni organi vlasti, kao i organi jedinica </w:t>
            </w:r>
            <w:r w:rsidRPr="000C5CA4">
              <w:rPr>
                <w:i/>
                <w:sz w:val="22"/>
                <w:u w:color="92D050"/>
              </w:rPr>
              <w:t>lokal</w:t>
            </w:r>
            <w:r w:rsidRPr="000C5CA4">
              <w:rPr>
                <w:i/>
                <w:sz w:val="22"/>
              </w:rPr>
              <w:t>ne samouprave dužni su sve propise i druge akte iz svoje nadležnosti prije upućivanja u zakonsku</w:t>
            </w:r>
            <w:r w:rsidRPr="000C5CA4">
              <w:rPr>
                <w:i/>
                <w:spacing w:val="-20"/>
                <w:sz w:val="22"/>
              </w:rPr>
              <w:t xml:space="preserve"> </w:t>
            </w:r>
            <w:r w:rsidRPr="000C5CA4">
              <w:rPr>
                <w:i/>
                <w:sz w:val="22"/>
              </w:rPr>
              <w:t>proceduru</w:t>
            </w:r>
            <w:r w:rsidRPr="000C5CA4">
              <w:rPr>
                <w:i/>
                <w:spacing w:val="-19"/>
                <w:sz w:val="22"/>
              </w:rPr>
              <w:t xml:space="preserve"> </w:t>
            </w:r>
            <w:r w:rsidRPr="000C5CA4">
              <w:rPr>
                <w:i/>
                <w:sz w:val="22"/>
              </w:rPr>
              <w:t>dostaviti</w:t>
            </w:r>
            <w:r w:rsidRPr="000C5CA4">
              <w:rPr>
                <w:i/>
                <w:spacing w:val="-17"/>
                <w:sz w:val="22"/>
              </w:rPr>
              <w:t xml:space="preserve"> </w:t>
            </w:r>
            <w:r w:rsidRPr="000C5CA4">
              <w:rPr>
                <w:i/>
                <w:sz w:val="22"/>
              </w:rPr>
              <w:t>na</w:t>
            </w:r>
            <w:r w:rsidRPr="000C5CA4">
              <w:rPr>
                <w:i/>
                <w:spacing w:val="-21"/>
                <w:sz w:val="22"/>
              </w:rPr>
              <w:t xml:space="preserve"> </w:t>
            </w:r>
            <w:r w:rsidRPr="000C5CA4">
              <w:rPr>
                <w:i/>
                <w:sz w:val="22"/>
              </w:rPr>
              <w:t>mišljenje</w:t>
            </w:r>
            <w:r w:rsidRPr="000C5CA4">
              <w:rPr>
                <w:i/>
                <w:spacing w:val="-21"/>
                <w:sz w:val="22"/>
              </w:rPr>
              <w:t xml:space="preserve"> </w:t>
            </w:r>
            <w:r w:rsidRPr="000C5CA4">
              <w:rPr>
                <w:i/>
                <w:sz w:val="22"/>
              </w:rPr>
              <w:t>institucionalnim</w:t>
            </w:r>
            <w:r w:rsidRPr="000C5CA4">
              <w:rPr>
                <w:i/>
                <w:spacing w:val="-19"/>
                <w:sz w:val="22"/>
              </w:rPr>
              <w:t xml:space="preserve"> </w:t>
            </w:r>
            <w:r w:rsidRPr="000C5CA4">
              <w:rPr>
                <w:i/>
                <w:sz w:val="22"/>
              </w:rPr>
              <w:t>mehanizmima</w:t>
            </w:r>
            <w:r w:rsidRPr="000C5CA4">
              <w:rPr>
                <w:i/>
                <w:spacing w:val="-19"/>
                <w:sz w:val="22"/>
              </w:rPr>
              <w:t xml:space="preserve"> </w:t>
            </w:r>
            <w:r w:rsidRPr="000C5CA4">
              <w:rPr>
                <w:i/>
                <w:sz w:val="22"/>
              </w:rPr>
              <w:t>za</w:t>
            </w:r>
            <w:r w:rsidRPr="000C5CA4">
              <w:rPr>
                <w:i/>
                <w:spacing w:val="-21"/>
                <w:sz w:val="22"/>
              </w:rPr>
              <w:t xml:space="preserve"> </w:t>
            </w:r>
            <w:r w:rsidRPr="000C5CA4">
              <w:rPr>
                <w:i/>
                <w:sz w:val="22"/>
              </w:rPr>
              <w:t>ravnopravnost spolova radi usaglašavanja sa odredbama Zakona o ravnopravnosti spolova u Bosni i Hercegovini.</w:t>
            </w:r>
          </w:p>
        </w:tc>
      </w:tr>
    </w:tbl>
    <w:p w14:paraId="1BF551C9" w14:textId="77777777" w:rsidR="00ED28FE" w:rsidRPr="000C5CA4" w:rsidRDefault="00ED28FE" w:rsidP="00672AC4">
      <w:pPr>
        <w:spacing w:line="276" w:lineRule="auto"/>
        <w:rPr>
          <w:sz w:val="22"/>
          <w:szCs w:val="20"/>
        </w:rPr>
      </w:pPr>
    </w:p>
    <w:p w14:paraId="2D4F5A19" w14:textId="77777777" w:rsidR="00ED28FE" w:rsidRPr="000C5CA4" w:rsidRDefault="00ED28FE" w:rsidP="00672AC4">
      <w:pPr>
        <w:spacing w:line="276" w:lineRule="auto"/>
        <w:rPr>
          <w:sz w:val="22"/>
          <w:szCs w:val="20"/>
        </w:rPr>
      </w:pPr>
      <w:r w:rsidRPr="000C5CA4">
        <w:rPr>
          <w:sz w:val="22"/>
          <w:szCs w:val="20"/>
        </w:rPr>
        <w:t>Ovo je izuzetno bitna pravna garancija, jer osigurava pravnu sigurnost institucija za ravnopravnost spolova. U skladu sa ZoRS BiH, ključni institucionalni mehanizmi za ravnopravnost spolova su Agencija za ravnopravnost spolova BiH Ministarstva za ljudska prava i izbjeglice BiH i, na entitetskom nivou, Gender Centar Federacije BiH i Gender centar - Centar za jednakost i ravnopravnost polova Vlade Republike Srpske. Agencija i entitetski gender centri su ključne institucije za kreiranje sveobuhvatnog, sistemskog i koordiniranog pristupa provođenju ZoRS-a. Agencija i gender centri pružaju stručnu podršku drugim institucijama u procesu provođenja obaveza iz ZoRS-a.</w:t>
      </w:r>
    </w:p>
    <w:p w14:paraId="58402EE6" w14:textId="77777777" w:rsidR="00ED28FE" w:rsidRPr="000C5CA4" w:rsidRDefault="00ED28FE" w:rsidP="00672AC4">
      <w:pPr>
        <w:spacing w:line="276" w:lineRule="auto"/>
        <w:rPr>
          <w:sz w:val="22"/>
          <w:szCs w:val="20"/>
        </w:rPr>
      </w:pPr>
    </w:p>
    <w:p w14:paraId="315401C6" w14:textId="77777777" w:rsidR="00ED28FE" w:rsidRPr="000C5CA4" w:rsidRDefault="00ED28FE" w:rsidP="00672AC4">
      <w:pPr>
        <w:spacing w:line="276" w:lineRule="auto"/>
        <w:rPr>
          <w:sz w:val="22"/>
          <w:szCs w:val="20"/>
        </w:rPr>
      </w:pPr>
      <w:r w:rsidRPr="000C5CA4">
        <w:rPr>
          <w:sz w:val="22"/>
          <w:szCs w:val="20"/>
        </w:rPr>
        <w:t xml:space="preserve">Mreža institucionalnih mehanizama za gender pitanja u BiH obuhvata i zakonodavnu i izvršnu vlast na svim nivoima vlasti. Komisija za ostvarivanje ravnopravnosti spolova Parlamentarne skupštine BiH, komisije za ravnopravnost spolova Doma naroda i Zastupničkog doma Parlamenta Federacije BiH, te Odbor jednakih mogućnosti Narodne skupštine Republike Srpske su aktivne i održavaju redovne sjednice, uključujući i tematske sjednice. </w:t>
      </w:r>
    </w:p>
    <w:p w14:paraId="7ED4E90F" w14:textId="77777777" w:rsidR="00ED28FE" w:rsidRPr="000C5CA4" w:rsidRDefault="00ED28FE" w:rsidP="00672AC4">
      <w:pPr>
        <w:spacing w:line="276" w:lineRule="auto"/>
        <w:rPr>
          <w:sz w:val="22"/>
          <w:szCs w:val="20"/>
        </w:rPr>
      </w:pPr>
    </w:p>
    <w:p w14:paraId="48FDE660" w14:textId="25D25C60" w:rsidR="00ED28FE" w:rsidRPr="000C5CA4" w:rsidRDefault="00ED28FE" w:rsidP="00672AC4">
      <w:pPr>
        <w:spacing w:line="276" w:lineRule="auto"/>
        <w:rPr>
          <w:sz w:val="22"/>
          <w:szCs w:val="20"/>
        </w:rPr>
      </w:pPr>
      <w:r w:rsidRPr="000C5CA4">
        <w:rPr>
          <w:sz w:val="22"/>
          <w:szCs w:val="20"/>
        </w:rPr>
        <w:t xml:space="preserve">Osnovane su komisije za ravnopravnost spolova kantonalnih skupština u Federaciji BiH, a na </w:t>
      </w:r>
      <w:r w:rsidRPr="000C5CA4">
        <w:rPr>
          <w:sz w:val="22"/>
          <w:szCs w:val="20"/>
          <w:u w:color="92D050"/>
        </w:rPr>
        <w:t>lokal</w:t>
      </w:r>
      <w:r w:rsidRPr="000C5CA4">
        <w:rPr>
          <w:sz w:val="22"/>
          <w:szCs w:val="20"/>
        </w:rPr>
        <w:t xml:space="preserve">nom nivou djeluju komisije u okviru </w:t>
      </w:r>
      <w:r w:rsidRPr="000C5CA4">
        <w:rPr>
          <w:sz w:val="22"/>
          <w:szCs w:val="20"/>
          <w:u w:color="92D050"/>
        </w:rPr>
        <w:t>općin</w:t>
      </w:r>
      <w:r w:rsidRPr="000C5CA4">
        <w:rPr>
          <w:sz w:val="22"/>
          <w:szCs w:val="20"/>
        </w:rPr>
        <w:t xml:space="preserve">skih ljudska prava i slobode/skupština opština u skoro svim </w:t>
      </w:r>
      <w:r w:rsidRPr="000C5CA4">
        <w:rPr>
          <w:sz w:val="22"/>
          <w:szCs w:val="20"/>
          <w:u w:color="92D050"/>
        </w:rPr>
        <w:t>općin</w:t>
      </w:r>
      <w:r w:rsidRPr="000C5CA4">
        <w:rPr>
          <w:sz w:val="22"/>
          <w:szCs w:val="20"/>
        </w:rPr>
        <w:t xml:space="preserve">ama u BiH. </w:t>
      </w:r>
    </w:p>
    <w:p w14:paraId="122E97DC" w14:textId="77777777" w:rsidR="00B51070" w:rsidRPr="000C5CA4" w:rsidRDefault="00B51070" w:rsidP="00672AC4">
      <w:pPr>
        <w:spacing w:line="276" w:lineRule="auto"/>
        <w:rPr>
          <w:sz w:val="22"/>
          <w:szCs w:val="20"/>
        </w:rPr>
      </w:pPr>
    </w:p>
    <w:p w14:paraId="3D55C998" w14:textId="77777777" w:rsidR="006B000C" w:rsidRPr="000C5CA4" w:rsidRDefault="006B000C" w:rsidP="00672AC4">
      <w:pPr>
        <w:pStyle w:val="Heading2"/>
        <w:spacing w:line="276" w:lineRule="auto"/>
        <w:rPr>
          <w:sz w:val="22"/>
          <w:szCs w:val="22"/>
        </w:rPr>
      </w:pPr>
      <w:bookmarkStart w:id="9" w:name="_Toc79420454"/>
      <w:bookmarkStart w:id="10" w:name="_Toc73392270"/>
      <w:bookmarkStart w:id="11" w:name="_Toc74118435"/>
    </w:p>
    <w:p w14:paraId="5AEEA238" w14:textId="044DF251" w:rsidR="00ED28FE" w:rsidRPr="000C5CA4" w:rsidRDefault="00ED28FE" w:rsidP="00672AC4">
      <w:pPr>
        <w:pStyle w:val="Heading2"/>
        <w:spacing w:line="276" w:lineRule="auto"/>
        <w:rPr>
          <w:sz w:val="22"/>
          <w:szCs w:val="22"/>
        </w:rPr>
      </w:pPr>
      <w:bookmarkStart w:id="12" w:name="_Toc200303201"/>
      <w:r w:rsidRPr="000C5CA4">
        <w:rPr>
          <w:sz w:val="22"/>
          <w:szCs w:val="22"/>
        </w:rPr>
        <w:t xml:space="preserve">Institucionalni mehanizam za ravnopravnosti spolova </w:t>
      </w:r>
      <w:r w:rsidR="0053095C" w:rsidRPr="000C5CA4">
        <w:rPr>
          <w:sz w:val="22"/>
          <w:szCs w:val="22"/>
        </w:rPr>
        <w:t>Tuzlanskog kantona</w:t>
      </w:r>
      <w:bookmarkEnd w:id="9"/>
      <w:bookmarkEnd w:id="12"/>
      <w:r w:rsidR="0053095C" w:rsidRPr="000C5CA4">
        <w:rPr>
          <w:sz w:val="22"/>
          <w:szCs w:val="22"/>
        </w:rPr>
        <w:t xml:space="preserve"> </w:t>
      </w:r>
      <w:bookmarkEnd w:id="10"/>
      <w:bookmarkEnd w:id="11"/>
    </w:p>
    <w:p w14:paraId="0FD2334F" w14:textId="77777777" w:rsidR="00ED28FE" w:rsidRPr="000C5CA4" w:rsidRDefault="00ED28FE" w:rsidP="00672AC4">
      <w:pPr>
        <w:spacing w:line="276" w:lineRule="auto"/>
        <w:rPr>
          <w:sz w:val="22"/>
          <w:szCs w:val="20"/>
        </w:rPr>
      </w:pPr>
    </w:p>
    <w:p w14:paraId="0E0725EF" w14:textId="6527940A" w:rsidR="00ED28FE" w:rsidRPr="000C5CA4" w:rsidRDefault="00ED28FE" w:rsidP="00672AC4">
      <w:pPr>
        <w:spacing w:line="276" w:lineRule="auto"/>
        <w:rPr>
          <w:sz w:val="22"/>
          <w:szCs w:val="20"/>
        </w:rPr>
      </w:pPr>
      <w:r w:rsidRPr="000C5CA4">
        <w:rPr>
          <w:sz w:val="22"/>
          <w:szCs w:val="20"/>
        </w:rPr>
        <w:t xml:space="preserve">U skladu sa svojom nadležnosti, Komisija za jednakopravnost spolova Skupštine </w:t>
      </w:r>
      <w:r w:rsidR="00D421FF" w:rsidRPr="000C5CA4">
        <w:rPr>
          <w:sz w:val="22"/>
          <w:szCs w:val="20"/>
        </w:rPr>
        <w:t>TK</w:t>
      </w:r>
      <w:r w:rsidRPr="000C5CA4">
        <w:rPr>
          <w:sz w:val="22"/>
          <w:szCs w:val="20"/>
        </w:rPr>
        <w:t xml:space="preserve"> predstavlja institucionalni mehanizam za ravnopravnost spolova Skupštine koji ima nadležnosti koje su predviđene članom 24. Zako</w:t>
      </w:r>
      <w:r w:rsidR="0053095C" w:rsidRPr="000C5CA4">
        <w:rPr>
          <w:sz w:val="22"/>
          <w:szCs w:val="20"/>
        </w:rPr>
        <w:t>na o ravnopravnosti spolova u Bi</w:t>
      </w:r>
      <w:r w:rsidRPr="000C5CA4">
        <w:rPr>
          <w:sz w:val="22"/>
          <w:szCs w:val="20"/>
        </w:rPr>
        <w:t xml:space="preserve">H. </w:t>
      </w:r>
    </w:p>
    <w:p w14:paraId="4346F932" w14:textId="77777777" w:rsidR="00ED28FE" w:rsidRPr="000C5CA4" w:rsidRDefault="00ED28FE" w:rsidP="00672AC4">
      <w:pPr>
        <w:pStyle w:val="BodyText"/>
        <w:rPr>
          <w:sz w:val="22"/>
          <w:szCs w:val="20"/>
        </w:rPr>
      </w:pPr>
    </w:p>
    <w:p w14:paraId="14D2D5EC" w14:textId="77777777" w:rsidR="00ED28FE" w:rsidRPr="000C5CA4" w:rsidRDefault="00ED28FE" w:rsidP="00672AC4">
      <w:pPr>
        <w:pStyle w:val="BodyText"/>
        <w:rPr>
          <w:sz w:val="22"/>
          <w:szCs w:val="20"/>
        </w:rPr>
      </w:pPr>
      <w:r w:rsidRPr="000C5CA4">
        <w:rPr>
          <w:sz w:val="22"/>
          <w:szCs w:val="20"/>
        </w:rPr>
        <w:t>Komisija je izričito nadležna za razmatranje pitanja u vezi sa ostvarivanjem ravnopravnosti spolova, zakona i drugih propisa, prijedloga i izvještaja kao i učešće u skupovima koji su vezani za ravnopravnost spolova.</w:t>
      </w:r>
    </w:p>
    <w:p w14:paraId="776581A4" w14:textId="77777777" w:rsidR="00ED28FE" w:rsidRPr="000C5CA4" w:rsidRDefault="00ED28FE" w:rsidP="00672AC4">
      <w:pPr>
        <w:pStyle w:val="BodyText"/>
        <w:rPr>
          <w:sz w:val="22"/>
          <w:szCs w:val="20"/>
        </w:rPr>
      </w:pP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5" w:themeFillTint="66"/>
        <w:tblLook w:val="04A0" w:firstRow="1" w:lastRow="0" w:firstColumn="1" w:lastColumn="0" w:noHBand="0" w:noVBand="1"/>
      </w:tblPr>
      <w:tblGrid>
        <w:gridCol w:w="8930"/>
      </w:tblGrid>
      <w:tr w:rsidR="00F214E2" w:rsidRPr="000C5CA4" w14:paraId="0400A15A" w14:textId="77777777" w:rsidTr="007A4FA5">
        <w:tc>
          <w:tcPr>
            <w:tcW w:w="9020" w:type="dxa"/>
            <w:shd w:val="clear" w:color="auto" w:fill="B4C6E7" w:themeFill="accent5" w:themeFillTint="66"/>
          </w:tcPr>
          <w:p w14:paraId="05AA0E6B" w14:textId="77777777" w:rsidR="007A4FA5" w:rsidRPr="000C5CA4" w:rsidRDefault="007A4FA5" w:rsidP="00672AC4">
            <w:pPr>
              <w:pStyle w:val="BodyText"/>
              <w:rPr>
                <w:i/>
                <w:sz w:val="22"/>
                <w:szCs w:val="20"/>
              </w:rPr>
            </w:pPr>
            <w:r w:rsidRPr="000C5CA4">
              <w:rPr>
                <w:i/>
                <w:sz w:val="22"/>
                <w:szCs w:val="20"/>
              </w:rPr>
              <w:lastRenderedPageBreak/>
              <w:t>Poslovnik Skupštine Tuzlanskog kantona („Službene novine Tuzlanskog kantona“, br. 13/19 i 5/20),</w:t>
            </w:r>
          </w:p>
          <w:p w14:paraId="0E6A97AF" w14:textId="2795C5CB" w:rsidR="007A4FA5" w:rsidRPr="000C5CA4" w:rsidRDefault="007A4FA5" w:rsidP="00672AC4">
            <w:pPr>
              <w:pStyle w:val="BodyText"/>
              <w:rPr>
                <w:i/>
                <w:sz w:val="22"/>
                <w:szCs w:val="20"/>
                <w:lang w:val="pl-PL" w:eastAsia="en-US"/>
              </w:rPr>
            </w:pPr>
            <w:r w:rsidRPr="000C5CA4">
              <w:rPr>
                <w:i/>
                <w:sz w:val="22"/>
                <w:szCs w:val="20"/>
                <w:lang w:val="pl-PL" w:eastAsia="en-US"/>
              </w:rPr>
              <w:t>Član 47.</w:t>
            </w:r>
            <w:r w:rsidR="00C42B01" w:rsidRPr="000C5CA4">
              <w:rPr>
                <w:i/>
                <w:sz w:val="22"/>
                <w:szCs w:val="20"/>
                <w:lang w:val="pl-PL" w:eastAsia="en-US"/>
              </w:rPr>
              <w:t xml:space="preserve">  </w:t>
            </w:r>
            <w:r w:rsidRPr="000C5CA4">
              <w:rPr>
                <w:i/>
                <w:sz w:val="22"/>
                <w:szCs w:val="20"/>
                <w:lang w:val="pl-PL" w:eastAsia="en-US"/>
              </w:rPr>
              <w:t>(Nadležnost Komisije za jednakopravnost spolova)</w:t>
            </w:r>
          </w:p>
          <w:p w14:paraId="5AAD1C49" w14:textId="77777777" w:rsidR="007A4FA5" w:rsidRPr="000C5CA4" w:rsidRDefault="007A4FA5" w:rsidP="00672AC4">
            <w:pPr>
              <w:pStyle w:val="BodyText"/>
              <w:rPr>
                <w:i/>
                <w:sz w:val="22"/>
                <w:szCs w:val="20"/>
                <w:lang w:val="pl-PL" w:eastAsia="en-US"/>
              </w:rPr>
            </w:pPr>
          </w:p>
          <w:p w14:paraId="2A49DDB5" w14:textId="3980DAD5" w:rsidR="007A4FA5" w:rsidRPr="000C5CA4" w:rsidRDefault="007A4FA5" w:rsidP="00672AC4">
            <w:pPr>
              <w:pStyle w:val="BodyText"/>
              <w:rPr>
                <w:i/>
                <w:sz w:val="22"/>
                <w:szCs w:val="20"/>
                <w:lang w:val="pl-PL" w:eastAsia="en-US"/>
              </w:rPr>
            </w:pPr>
            <w:r w:rsidRPr="000C5CA4">
              <w:rPr>
                <w:i/>
                <w:sz w:val="22"/>
                <w:szCs w:val="20"/>
                <w:lang w:val="pl-PL" w:eastAsia="en-US"/>
              </w:rPr>
              <w:t>Komisija za jednakopravnost spolova:</w:t>
            </w:r>
          </w:p>
          <w:p w14:paraId="6ECB2704" w14:textId="77777777" w:rsidR="007A4FA5" w:rsidRPr="000C5CA4" w:rsidRDefault="007A4FA5" w:rsidP="00672AC4">
            <w:pPr>
              <w:pStyle w:val="BodyText"/>
              <w:rPr>
                <w:i/>
                <w:sz w:val="22"/>
                <w:szCs w:val="20"/>
                <w:lang w:val="pl-PL" w:eastAsia="en-US"/>
              </w:rPr>
            </w:pPr>
            <w:r w:rsidRPr="000C5CA4">
              <w:rPr>
                <w:i/>
                <w:sz w:val="22"/>
                <w:szCs w:val="20"/>
                <w:lang w:val="pl-PL" w:eastAsia="en-US"/>
              </w:rPr>
              <w:t>a) razmatra pitanja u vezi sa ostvarivanjem jednakosti među spolovima u Kantonu posebno u vezi sa unapređenjem statusa žena u Kantonu,</w:t>
            </w:r>
          </w:p>
          <w:p w14:paraId="02A4C27D" w14:textId="77777777" w:rsidR="007A4FA5" w:rsidRPr="000C5CA4" w:rsidRDefault="007A4FA5" w:rsidP="00672AC4">
            <w:pPr>
              <w:pStyle w:val="BodyText"/>
              <w:rPr>
                <w:i/>
                <w:sz w:val="22"/>
                <w:szCs w:val="20"/>
                <w:lang w:val="pl-PL" w:eastAsia="en-US"/>
              </w:rPr>
            </w:pPr>
            <w:r w:rsidRPr="000C5CA4">
              <w:rPr>
                <w:i/>
                <w:sz w:val="22"/>
                <w:szCs w:val="20"/>
                <w:lang w:val="pl-PL" w:eastAsia="en-US"/>
              </w:rPr>
              <w:t>b) razmatra predložene zakone i druge propise Kantona sa stanovišta jednakosti spolova i sprečavanja diskriminacije žena,</w:t>
            </w:r>
          </w:p>
          <w:p w14:paraId="05C5D69B" w14:textId="77777777" w:rsidR="007A4FA5" w:rsidRPr="000C5CA4" w:rsidRDefault="007A4FA5" w:rsidP="00672AC4">
            <w:pPr>
              <w:pStyle w:val="BodyText"/>
              <w:rPr>
                <w:i/>
                <w:sz w:val="22"/>
                <w:szCs w:val="20"/>
                <w:lang w:val="pl-PL" w:eastAsia="en-US"/>
              </w:rPr>
            </w:pPr>
            <w:r w:rsidRPr="000C5CA4">
              <w:rPr>
                <w:i/>
                <w:sz w:val="22"/>
                <w:szCs w:val="20"/>
                <w:lang w:val="pl-PL" w:eastAsia="en-US"/>
              </w:rPr>
              <w:t>c) razmatra prijedloge dokumenata i izvještaje institucija Kantona koje se odnose na ostvarivanje jednakosti spolova i provođenje platforme za akciju Pekinške deklaracije u cjelini, odnosno po pojedinim oblastima,</w:t>
            </w:r>
          </w:p>
          <w:p w14:paraId="11C6BDB3" w14:textId="77777777" w:rsidR="007A4FA5" w:rsidRPr="000C5CA4" w:rsidRDefault="007A4FA5" w:rsidP="00672AC4">
            <w:pPr>
              <w:pStyle w:val="BodyText"/>
              <w:rPr>
                <w:i/>
                <w:sz w:val="22"/>
                <w:szCs w:val="20"/>
                <w:lang w:val="pl-PL" w:eastAsia="en-US"/>
              </w:rPr>
            </w:pPr>
            <w:r w:rsidRPr="000C5CA4">
              <w:rPr>
                <w:i/>
                <w:sz w:val="22"/>
                <w:szCs w:val="20"/>
                <w:lang w:val="pl-PL" w:eastAsia="en-US"/>
              </w:rPr>
              <w:t>d) razmatra pripreme za učešće delegacije Kantona na skupovima unutar države i međunarodnim skupovima kada se razmatra provođenje Pekinške deklaracije,</w:t>
            </w:r>
          </w:p>
          <w:p w14:paraId="21B6FC7A" w14:textId="24CD08B1" w:rsidR="00ED28FE" w:rsidRPr="000C5CA4" w:rsidRDefault="007A4FA5" w:rsidP="00672AC4">
            <w:pPr>
              <w:pStyle w:val="BodyText"/>
              <w:rPr>
                <w:rFonts w:cs="Arial"/>
                <w:sz w:val="22"/>
                <w:szCs w:val="20"/>
              </w:rPr>
            </w:pPr>
            <w:r w:rsidRPr="000C5CA4">
              <w:rPr>
                <w:i/>
                <w:sz w:val="22"/>
                <w:szCs w:val="20"/>
                <w:lang w:val="pl-PL" w:eastAsia="en-US"/>
              </w:rPr>
              <w:t>e) razmatra i druga pitanja u vezi sa ostvarivanjem jednakosti spolova.</w:t>
            </w:r>
          </w:p>
        </w:tc>
      </w:tr>
    </w:tbl>
    <w:p w14:paraId="273AA2AF" w14:textId="07474FE6" w:rsidR="00ED28FE" w:rsidRPr="000C5CA4" w:rsidRDefault="00ED28FE" w:rsidP="00672AC4">
      <w:pPr>
        <w:pStyle w:val="BodyText"/>
        <w:rPr>
          <w:sz w:val="22"/>
          <w:szCs w:val="20"/>
        </w:rPr>
      </w:pPr>
    </w:p>
    <w:p w14:paraId="6C685608" w14:textId="3FAEBA6C" w:rsidR="00586E93" w:rsidRPr="000C5CA4" w:rsidRDefault="0018400C" w:rsidP="00C42B01">
      <w:pPr>
        <w:rPr>
          <w:sz w:val="22"/>
          <w:szCs w:val="20"/>
        </w:rPr>
      </w:pPr>
      <w:r w:rsidRPr="000C5CA4">
        <w:rPr>
          <w:sz w:val="22"/>
          <w:szCs w:val="20"/>
        </w:rPr>
        <w:t xml:space="preserve">Gender akcioni plan Tuzlanskog kantona za period 2021–2024. godine usvojen je 23. novembra 2021. godine Zaključkom </w:t>
      </w:r>
      <w:r w:rsidR="00C42B01" w:rsidRPr="000C5CA4">
        <w:rPr>
          <w:sz w:val="22"/>
          <w:szCs w:val="20"/>
        </w:rPr>
        <w:t xml:space="preserve">Vlade TK broj: 02/1-04-26477/21 i predstavlja </w:t>
      </w:r>
      <w:r w:rsidR="00C42B01" w:rsidRPr="000C5CA4">
        <w:rPr>
          <w:rFonts w:eastAsiaTheme="minorHAnsi" w:cstheme="minorBidi"/>
          <w:sz w:val="22"/>
          <w:szCs w:val="20"/>
        </w:rPr>
        <w:t xml:space="preserve">prvi sveobuhvatni strateški dokument za ravnopravnost spolova u </w:t>
      </w:r>
      <w:r w:rsidR="00C42B01" w:rsidRPr="000C5CA4">
        <w:rPr>
          <w:sz w:val="22"/>
          <w:szCs w:val="20"/>
        </w:rPr>
        <w:t>Tuzlanskom kantonu</w:t>
      </w:r>
      <w:r w:rsidR="00C42B01" w:rsidRPr="000C5CA4">
        <w:rPr>
          <w:rFonts w:eastAsiaTheme="minorHAnsi" w:cstheme="minorBidi"/>
          <w:sz w:val="22"/>
          <w:szCs w:val="20"/>
        </w:rPr>
        <w:t xml:space="preserve">, a njegovoj izradi je prethodila </w:t>
      </w:r>
      <w:r w:rsidR="00C42B01" w:rsidRPr="000C5CA4">
        <w:rPr>
          <w:sz w:val="22"/>
          <w:szCs w:val="20"/>
        </w:rPr>
        <w:t>analiza stanja ravnopravnosti spolova, identifikovanje oblasti neravnopravnosti spolova, utvrđivanje strukturalnih prepreka za ravnopravnost spolova i prilika za unapređenje zatečenog stanja.</w:t>
      </w:r>
    </w:p>
    <w:p w14:paraId="2D3295FB" w14:textId="77777777" w:rsidR="00F47E4E" w:rsidRPr="000C5CA4" w:rsidRDefault="00F47E4E" w:rsidP="00C42B01">
      <w:pPr>
        <w:rPr>
          <w:sz w:val="22"/>
          <w:szCs w:val="20"/>
        </w:rPr>
      </w:pPr>
    </w:p>
    <w:p w14:paraId="079BC114" w14:textId="62C16004" w:rsidR="00C42B01" w:rsidRPr="000C5CA4" w:rsidRDefault="00C42B01" w:rsidP="00C42B01">
      <w:pPr>
        <w:rPr>
          <w:sz w:val="22"/>
          <w:szCs w:val="20"/>
        </w:rPr>
      </w:pPr>
      <w:r w:rsidRPr="000C5CA4">
        <w:rPr>
          <w:sz w:val="22"/>
          <w:szCs w:val="20"/>
        </w:rPr>
        <w:t>Odlukom broj 02/1-04-26477-2/21 od 30. decembra 2021. godine, Vlada Tuzlanskog kantona je imenovala članove Koordinacionog odbora za praćenje Gender akcionog plana Tuzlanskog kantona za period 2021. – 2024. godine. Članovi Koordinacionog odbora su predstavnici Ministarstva za rad, socijalnu politiku i povratak Tuzlanskog kantona, Ministarstva unutrašnjih poslova Tuzlanskog kantona, Ministarstva obrazovanja i nauke Tuzlanskog kantona, Ministarstva zdravstva Tuzlanskog kantona, Ministarstva finansija Tuzlanskog kantona, Ministarstva privrede Tuzlanskog kantona, Ministarstva za kulturu, sport i mlade Tuzlanskog kantona, Ministarstva pravosuđa i uprave Tuzlanskog kantona, JU Službe za zapošljavanje Tuzlanskog kantona i Udruženja „Amica Educa“. Nadležnosti Koordinacionog odbora i obaveze resornih ministarstava utvrđene su Gender akcionim planom Tuzlanskog kantona, a cilj je nadzor nad implementacijom, evaluacija ostvarenih rezultata i pružanje preporuka za dalji rad u oblasti ravnopravnosti spolova.</w:t>
      </w:r>
    </w:p>
    <w:p w14:paraId="2C6FE19F" w14:textId="77777777" w:rsidR="000C5CA4" w:rsidRPr="000C5CA4" w:rsidRDefault="000C5CA4" w:rsidP="00C42B01">
      <w:pPr>
        <w:rPr>
          <w:sz w:val="22"/>
          <w:szCs w:val="20"/>
        </w:rPr>
      </w:pPr>
    </w:p>
    <w:tbl>
      <w:tblPr>
        <w:tblStyle w:val="TableGrid"/>
        <w:tblW w:w="0" w:type="auto"/>
        <w:shd w:val="clear" w:color="auto" w:fill="5B9BD5" w:themeFill="accent1"/>
        <w:tblLook w:val="04A0" w:firstRow="1" w:lastRow="0" w:firstColumn="1" w:lastColumn="0" w:noHBand="0" w:noVBand="1"/>
      </w:tblPr>
      <w:tblGrid>
        <w:gridCol w:w="9020"/>
      </w:tblGrid>
      <w:tr w:rsidR="000C5CA4" w:rsidRPr="000C5CA4" w14:paraId="2BB935CB" w14:textId="77777777" w:rsidTr="000C5CA4">
        <w:tc>
          <w:tcPr>
            <w:tcW w:w="9020" w:type="dxa"/>
            <w:tcBorders>
              <w:top w:val="nil"/>
              <w:left w:val="nil"/>
              <w:bottom w:val="nil"/>
              <w:right w:val="nil"/>
            </w:tcBorders>
            <w:shd w:val="clear" w:color="auto" w:fill="9CC2E5" w:themeFill="accent1" w:themeFillTint="99"/>
          </w:tcPr>
          <w:p w14:paraId="69F4ADE1" w14:textId="77777777" w:rsidR="000C5CA4" w:rsidRPr="000C5CA4" w:rsidRDefault="000C5CA4" w:rsidP="000C5CA4">
            <w:pPr>
              <w:rPr>
                <w:sz w:val="22"/>
                <w:szCs w:val="20"/>
              </w:rPr>
            </w:pPr>
            <w:r w:rsidRPr="000C5CA4">
              <w:rPr>
                <w:sz w:val="22"/>
                <w:szCs w:val="20"/>
              </w:rPr>
              <w:t>Nadležnosti Koordinacionog odbora i obaveze resornih ministarstava utvrđene su Gender akcionim planom Tuzlanskog kantona za period 2021. do 2024. godine</w:t>
            </w:r>
          </w:p>
          <w:p w14:paraId="6ABF6F12" w14:textId="77777777" w:rsidR="000C5CA4" w:rsidRPr="000C5CA4" w:rsidRDefault="000C5CA4" w:rsidP="000C5CA4">
            <w:pPr>
              <w:rPr>
                <w:sz w:val="22"/>
                <w:szCs w:val="20"/>
              </w:rPr>
            </w:pPr>
            <w:r w:rsidRPr="000C5CA4">
              <w:rPr>
                <w:sz w:val="22"/>
                <w:szCs w:val="20"/>
              </w:rPr>
              <w:t>Nadležnosti Koordinacionog tijela se odnose na:</w:t>
            </w:r>
          </w:p>
          <w:p w14:paraId="4D14F9AD" w14:textId="77777777" w:rsidR="000C5CA4" w:rsidRPr="000C5CA4" w:rsidRDefault="000C5CA4" w:rsidP="000C5CA4">
            <w:pPr>
              <w:numPr>
                <w:ilvl w:val="0"/>
                <w:numId w:val="36"/>
              </w:numPr>
              <w:rPr>
                <w:sz w:val="22"/>
                <w:szCs w:val="20"/>
              </w:rPr>
            </w:pPr>
            <w:r w:rsidRPr="000C5CA4">
              <w:rPr>
                <w:sz w:val="22"/>
                <w:szCs w:val="20"/>
              </w:rPr>
              <w:t>Usvajanje plana za praćenje, evaluaciju i izvještavanje o primjeni Gender akcionog plana TK</w:t>
            </w:r>
          </w:p>
          <w:p w14:paraId="38BB5084" w14:textId="77777777" w:rsidR="000C5CA4" w:rsidRPr="000C5CA4" w:rsidRDefault="000C5CA4" w:rsidP="000C5CA4">
            <w:pPr>
              <w:numPr>
                <w:ilvl w:val="0"/>
                <w:numId w:val="36"/>
              </w:numPr>
              <w:rPr>
                <w:sz w:val="22"/>
                <w:szCs w:val="20"/>
              </w:rPr>
            </w:pPr>
            <w:r w:rsidRPr="000C5CA4">
              <w:rPr>
                <w:sz w:val="22"/>
                <w:szCs w:val="20"/>
              </w:rPr>
              <w:t>Izrada i usvajanje metodologije za izradu godišnjih i završnog izvještaja o provođenja GAP-a</w:t>
            </w:r>
          </w:p>
          <w:p w14:paraId="050CBCA9" w14:textId="77777777" w:rsidR="000C5CA4" w:rsidRPr="000C5CA4" w:rsidRDefault="000C5CA4" w:rsidP="000C5CA4">
            <w:pPr>
              <w:numPr>
                <w:ilvl w:val="0"/>
                <w:numId w:val="36"/>
              </w:numPr>
              <w:rPr>
                <w:sz w:val="22"/>
                <w:szCs w:val="20"/>
              </w:rPr>
            </w:pPr>
            <w:r w:rsidRPr="000C5CA4">
              <w:rPr>
                <w:sz w:val="22"/>
                <w:szCs w:val="20"/>
              </w:rPr>
              <w:t>Izrada i dostavljanje Godišnjeg izvještaja o provođenju GAP i dostavljanje putem Vlade Komisiji za jednakopravnost spolova i Skupštini</w:t>
            </w:r>
          </w:p>
          <w:p w14:paraId="54AE57AA" w14:textId="77777777" w:rsidR="000C5CA4" w:rsidRPr="000C5CA4" w:rsidRDefault="000C5CA4" w:rsidP="000C5CA4">
            <w:pPr>
              <w:numPr>
                <w:ilvl w:val="0"/>
                <w:numId w:val="36"/>
              </w:numPr>
              <w:rPr>
                <w:sz w:val="22"/>
                <w:szCs w:val="20"/>
              </w:rPr>
            </w:pPr>
            <w:r w:rsidRPr="000C5CA4">
              <w:rPr>
                <w:sz w:val="22"/>
                <w:szCs w:val="20"/>
              </w:rPr>
              <w:t>Izvršiti procjenu (evaluaciju) provođenja Gender akcionog plana kao osnovu za izradu narednog Gender akcionog plana</w:t>
            </w:r>
          </w:p>
          <w:p w14:paraId="3F65FE68" w14:textId="77777777" w:rsidR="000C5CA4" w:rsidRPr="000C5CA4" w:rsidRDefault="000C5CA4" w:rsidP="000C5CA4">
            <w:pPr>
              <w:numPr>
                <w:ilvl w:val="0"/>
                <w:numId w:val="36"/>
              </w:numPr>
              <w:rPr>
                <w:sz w:val="22"/>
                <w:szCs w:val="20"/>
              </w:rPr>
            </w:pPr>
            <w:r w:rsidRPr="000C5CA4">
              <w:rPr>
                <w:sz w:val="22"/>
                <w:szCs w:val="20"/>
              </w:rPr>
              <w:lastRenderedPageBreak/>
              <w:t>Utvrditi spisak organizacija civilnog društva i pojedinaca koje se bave ravnopravnošću spolova.</w:t>
            </w:r>
          </w:p>
          <w:p w14:paraId="43082D28" w14:textId="77777777" w:rsidR="000C5CA4" w:rsidRPr="000C5CA4" w:rsidRDefault="000C5CA4" w:rsidP="00C42B01">
            <w:pPr>
              <w:rPr>
                <w:sz w:val="22"/>
                <w:szCs w:val="20"/>
              </w:rPr>
            </w:pPr>
          </w:p>
        </w:tc>
      </w:tr>
    </w:tbl>
    <w:p w14:paraId="7D4AD642" w14:textId="61BC0D6F" w:rsidR="00C42B01" w:rsidRPr="000C5CA4" w:rsidRDefault="00C42B01" w:rsidP="00C42B01">
      <w:pPr>
        <w:rPr>
          <w:sz w:val="22"/>
          <w:szCs w:val="20"/>
        </w:rPr>
      </w:pPr>
    </w:p>
    <w:p w14:paraId="1FD6FFBA" w14:textId="77777777" w:rsidR="00B34A8B" w:rsidRPr="000C5CA4" w:rsidRDefault="00B34A8B" w:rsidP="00B34A8B">
      <w:pPr>
        <w:rPr>
          <w:rFonts w:eastAsia="Times New Roman"/>
          <w:sz w:val="22"/>
          <w:szCs w:val="20"/>
        </w:rPr>
      </w:pPr>
      <w:r w:rsidRPr="000C5CA4">
        <w:rPr>
          <w:rFonts w:eastAsia="Times New Roman"/>
          <w:sz w:val="22"/>
          <w:szCs w:val="20"/>
        </w:rPr>
        <w:t>Koordinaciono tijelo za praćenje realizacije Gender akcionog plana Tuzlanskog kantona od dana imenovanja vrši kontinuirane aktivnosti u skladu sa svojim nadležnostima. Aktivnosti na jačanju kapaciteta članova tijela, planirane po usvajanju Gender akcionog plana Tuzlanskog kantona, realizuju se u kontinuitetu. Prvi radni sastanak Koordinacionog tijela održan je 14. marta 2022. godine u prostorijama Ministarstva za rad, socijalnu politiku i povratak Tuzlanskog kantona. Na tom sastanku usvojeni su Poslovnik o radu Koordinacionog tijela i Plan za praćenje, evaluaciju i izvještavanje o primjeni Gender akcionog plana Tuzlanskog kantona, te su definisani ciljevi i aktivnosti koje je bilo potrebno realizirati u narednom periodu.</w:t>
      </w:r>
    </w:p>
    <w:p w14:paraId="161D4243" w14:textId="77777777" w:rsidR="00B34A8B" w:rsidRPr="000C5CA4" w:rsidRDefault="00B34A8B" w:rsidP="00B34A8B">
      <w:pPr>
        <w:rPr>
          <w:rFonts w:eastAsia="Times New Roman"/>
          <w:sz w:val="22"/>
          <w:szCs w:val="20"/>
        </w:rPr>
      </w:pPr>
    </w:p>
    <w:p w14:paraId="7B83C6F3" w14:textId="77777777" w:rsidR="00B34A8B" w:rsidRPr="000C5CA4" w:rsidRDefault="00B34A8B" w:rsidP="00B34A8B">
      <w:pPr>
        <w:rPr>
          <w:rFonts w:eastAsia="Times New Roman"/>
          <w:sz w:val="22"/>
          <w:szCs w:val="20"/>
        </w:rPr>
      </w:pPr>
      <w:r w:rsidRPr="000C5CA4">
        <w:rPr>
          <w:rFonts w:eastAsia="Times New Roman"/>
          <w:sz w:val="22"/>
          <w:szCs w:val="20"/>
        </w:rPr>
        <w:t xml:space="preserve">U periodu od 6. do 8. aprila 2022. godine, na poziv Gender centra Federacije BiH, predstavnici Koordinacionog tijela su prisustvovali dvodnevnoj radionici na Igmanu. Radionica je imala za cilj jačanje kapaciteta članova tijela i razmjenu iskustava u vezi s implementacijom mjera Gender akcionog plana za 2022. godinu. Poseban fokus bio je na izradi obrazaca za praćenje aktivnosti, kao i inovacijama u oblasti promocije rodne ravnopravnosti. Učesnici radionice bili su članovi i članice Koordinacionog tijela, predstavnici UN Women kancelarije u Sarajevu, predstavnici nevladinog sektora, kao i ekspert za ravnopravnost spolova. Tokom radionice predstavljeni su moduli koji su se odnosili na međunarodni i domaći zakonodavni okvir u oblasti ravnopravnosti spolova i antidiskriminacije, zakonske obaveze institucija po Zakonu o ravnopravnosti spolova BiH, Gender akcionom planu BiH, te finansijskom okviru IPA fondova Evropske unije. Na osnovu prezentiranih informacija doneseni su određeni zaključci, među kojima se posebno ističe da je </w:t>
      </w:r>
      <w:r w:rsidRPr="000C5CA4">
        <w:rPr>
          <w:rFonts w:eastAsia="Times New Roman"/>
          <w:i/>
          <w:sz w:val="22"/>
          <w:szCs w:val="20"/>
        </w:rPr>
        <w:t>rodna ravnopravnost jedna od četiri ključne vrijednosti za prihvaćanje projekata iz IPA fondova</w:t>
      </w:r>
      <w:r w:rsidRPr="000C5CA4">
        <w:rPr>
          <w:rFonts w:eastAsia="Times New Roman"/>
          <w:sz w:val="22"/>
          <w:szCs w:val="20"/>
        </w:rPr>
        <w:t>. Također su donesene preporuke u vezi s daljim funkcionisanjem i praćenjem aktivnosti mjera kroz procjenu utjecaja u narednom periodu implementacije. Ove aktivnosti predstavljale su početne korake u procesu uvođenja rodne komponente u javni sektor Tuzlanskog kantona.</w:t>
      </w:r>
    </w:p>
    <w:p w14:paraId="04BEB361" w14:textId="77777777" w:rsidR="000C5CA4" w:rsidRPr="000C5CA4" w:rsidRDefault="000C5CA4" w:rsidP="00B34A8B">
      <w:pPr>
        <w:rPr>
          <w:rFonts w:eastAsia="Times New Roman"/>
          <w:sz w:val="22"/>
          <w:szCs w:val="20"/>
        </w:rPr>
      </w:pPr>
    </w:p>
    <w:p w14:paraId="0974447A" w14:textId="77777777" w:rsidR="00B34A8B" w:rsidRPr="000C5CA4" w:rsidRDefault="00B34A8B" w:rsidP="00B34A8B">
      <w:pPr>
        <w:rPr>
          <w:rFonts w:eastAsia="Times New Roman"/>
          <w:sz w:val="22"/>
          <w:szCs w:val="20"/>
        </w:rPr>
      </w:pPr>
      <w:r w:rsidRPr="000C5CA4">
        <w:rPr>
          <w:rFonts w:eastAsia="Times New Roman"/>
          <w:sz w:val="22"/>
          <w:szCs w:val="20"/>
        </w:rPr>
        <w:t>U julu 2023. godine, predstavnici Koordinacionog tijela su prisustvovali sastanku održanom u Gender centru Federacije BiH, koji je bio usmjeren na evaluaciju saradnje u dosadašnjem periodu. Tokom sastanka razmatrani su oblici podrške koju je Gender centar Federacije BiH pružio resornim ministarstvima, upravama, organizacijama, privrednim subjektima i akademskoj zajednici u provedbi Gender akcionog plana, kao i u realizaciji aktivnosti iz Operativnog plana 2018–2022. godine. Ocijenjen je ukupni proces saradnje, postignuti rezultati, sistemska rješenja, budžetski aspekti, provedene politike i edukacije, te općenito jačanje kapaciteta.</w:t>
      </w:r>
    </w:p>
    <w:p w14:paraId="0EE52005" w14:textId="77777777" w:rsidR="000C5CA4" w:rsidRPr="000C5CA4" w:rsidRDefault="000C5CA4" w:rsidP="00B34A8B">
      <w:pPr>
        <w:rPr>
          <w:rFonts w:eastAsia="Times New Roman"/>
          <w:sz w:val="22"/>
          <w:szCs w:val="20"/>
        </w:rPr>
      </w:pPr>
    </w:p>
    <w:p w14:paraId="4C73BAE3" w14:textId="22F43D6C" w:rsidR="00B34A8B" w:rsidRPr="000C5CA4" w:rsidRDefault="00B34A8B" w:rsidP="00B34A8B">
      <w:pPr>
        <w:rPr>
          <w:rFonts w:eastAsia="Times New Roman"/>
          <w:sz w:val="22"/>
        </w:rPr>
      </w:pPr>
      <w:r w:rsidRPr="000C5CA4">
        <w:rPr>
          <w:rFonts w:eastAsia="Times New Roman"/>
          <w:sz w:val="22"/>
          <w:szCs w:val="20"/>
        </w:rPr>
        <w:t xml:space="preserve">U novembru 2023. godine, Koordinaciono tijelo je prisustvovalo sastanku na temu jačanja međuinstitucionalne saradnje u implementaciji Gender akcionog plana i drugih dokumenata iz oblasti rodne ravnopravnosti u Tuzlanskom kantonu. Sastanak je održan uz podršku Misije OSCE-a u Bosni i Hercegovini. Cilj sastanka bio je podsticanje aktivnog i koordiniranog uključivanja </w:t>
      </w:r>
      <w:r w:rsidRPr="000C5CA4">
        <w:rPr>
          <w:rFonts w:eastAsia="Times New Roman"/>
          <w:sz w:val="22"/>
        </w:rPr>
        <w:t>svih relevantnih institucija u provedbu Gender akcionog plana Vlade Tuzlanskog kantona za period 2021–2024, kao i jačanje saradnje između institucija vlasti i nevladinih organizacija. Na sastanku je učestvovalo ukupno 20 učesnika iz različitih sektora, uključujući savjetnika Premijera TK, Komisiju za jednakopravnost spolova Skupštine TK, Službu Skupštine TK, predstavnike resornih ministarstava, nevladine organizacije i predstavnika OSCE-a.</w:t>
      </w:r>
    </w:p>
    <w:p w14:paraId="28A43525" w14:textId="77777777" w:rsidR="000C5CA4" w:rsidRPr="000C5CA4" w:rsidRDefault="000C5CA4" w:rsidP="00B34A8B">
      <w:pPr>
        <w:rPr>
          <w:rFonts w:eastAsia="Times New Roman"/>
          <w:sz w:val="22"/>
        </w:rPr>
      </w:pPr>
    </w:p>
    <w:p w14:paraId="0ED563A5" w14:textId="77777777" w:rsidR="00B34A8B" w:rsidRPr="000C5CA4" w:rsidRDefault="00B34A8B" w:rsidP="00B34A8B">
      <w:pPr>
        <w:rPr>
          <w:rFonts w:eastAsia="Times New Roman"/>
          <w:sz w:val="22"/>
        </w:rPr>
      </w:pPr>
      <w:r w:rsidRPr="000C5CA4">
        <w:rPr>
          <w:rFonts w:eastAsia="Times New Roman"/>
          <w:sz w:val="22"/>
        </w:rPr>
        <w:lastRenderedPageBreak/>
        <w:t>Uprkos navedenim aktivnostima, Koordinaciono tijelo je tokom rada uočilo da određeni članovi tijela ne izvršavaju zadatke definisane odlukom Vlade TK, odnosno ne odazivaju se na pozive za učešće u radu tijela. Zaključeno je da je nužno da Vlada TK bude upoznata s ovim izazovom, s ciljem osiguranja punog funkcionisanja tijela.</w:t>
      </w:r>
    </w:p>
    <w:p w14:paraId="065C5935" w14:textId="60C06C32" w:rsidR="00B34A8B" w:rsidRPr="000C5CA4" w:rsidRDefault="00B34A8B" w:rsidP="00C42B01">
      <w:pPr>
        <w:rPr>
          <w:sz w:val="22"/>
        </w:rPr>
      </w:pPr>
    </w:p>
    <w:p w14:paraId="1525EFF0" w14:textId="77777777" w:rsidR="00B34A8B" w:rsidRPr="000C5CA4" w:rsidRDefault="00B34A8B" w:rsidP="00B34A8B">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Rodno odgovorno budžetiranje, kao integralni dio programskog budžetiranja, planirano je da bude u primjeni od 2024. godine. U tom kontekstu, edukacija službenika koji se bave planiranjem budžeta u institucijama Tuzlanskog kantona smatra se neophodnom. Kao nosilac odgovornosti u dijelu koji se odnosi na obezbjeđenje sredstava i definisanje obaveze rodno odgovornog budžetiranja u zakonskim okvirima, određen je Ministarstvo finansija Tuzlanskog kantona.</w:t>
      </w:r>
    </w:p>
    <w:p w14:paraId="2FAD0EF2" w14:textId="77777777" w:rsidR="00B34A8B" w:rsidRPr="000C5CA4" w:rsidRDefault="00B34A8B" w:rsidP="00B34A8B">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 xml:space="preserve">S obzirom na to da je Gender akcioni plan usvojen za period 2021–2024. godina, ova mjera predstavlja ključni preduslov za uspješnu realizaciju ostalih mjera definisanih u okviru plana, te se u trenutnom kontekstu ocjenjuje kao vjerovatno najvažnija. </w:t>
      </w:r>
    </w:p>
    <w:p w14:paraId="6B728B5F" w14:textId="775C6C20" w:rsidR="00B34A8B" w:rsidRPr="000C5CA4" w:rsidRDefault="00B34A8B" w:rsidP="00B34A8B">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Koordinacioni odbor za praćenje implementacije Gender akcionog plana zauzeo je stav da je potrebno jasno definisati sve korake i subjekte odgovorne za realizaciju ove mjere, s obzirom da u njenoj provedbi, osim Ministarstva finansija, učestvuju i drugi organi uprave. Posebnu pažnju potrebno je posvetiti definisanju potrošačkog mjesta na kojem će se planirati sredstva za izvršenje poslova Koordinacionog tijela, kao i ukupna sredstva potrebna za realizaciju programa predviđenih Gender akcionim planom, budući da se radi o tijelu koje je imenovala Vlada Tuzlanskog kantona.</w:t>
      </w:r>
    </w:p>
    <w:p w14:paraId="2459BCC4" w14:textId="77777777" w:rsidR="00B34A8B" w:rsidRPr="000C5CA4" w:rsidRDefault="00B34A8B" w:rsidP="00B34A8B">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Koordinacioni odbor je predložio da se za 2024. godinu sredstva za rad tijela planiraju na potrošačkom mjestu Vlade Tuzlanskog kantona ili Ministarstva za rad, socijalnu politiku i povratak, koje je nosilac i koordinator u sprovođenju politike rodne ravnopravnosti. U skladu s tim, upućen je zahtjev za planiranje budžetskih sredstava kako bi se u 2024. godini omogućilo finansiranje rada Koordinacionog odbora, uključujući troškove edukacija i aktivnosti vezanih za provođenje Gender akcionog plana. Imajući u vidu da je način finansiranja radnih tijela Vlade već regulisan, kao i da postoji praksa budžetskog finansiranja takvih tijela u drugim kantonima, postoje svi zakonski i tehnički uslovi za planiranje i odobravanje ovih sredstava u Budžetu Tuzlanskog kantona.</w:t>
      </w:r>
    </w:p>
    <w:p w14:paraId="21AB6B6B" w14:textId="77777777" w:rsidR="00B34A8B" w:rsidRPr="000C5CA4" w:rsidRDefault="00B34A8B" w:rsidP="00B34A8B">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 xml:space="preserve">Uvođenjem ovog modela prepoznaje se značaj rada Koordinacionog tijela u smislu implementacije gender senzitivnog budžetiranja, što bi ujedno predstavljalo početni korak u njegovoj institucionalizaciji u Tuzlanskom kantonu. Do momenta uvođenja programa koji eksplicitno obuhvata rodno odgovorno budžetiranje, ovo tijelo bi nastavilo sa radom na postojećim programima i zadacima predviđenim Gender akcionim planom za period 2021–2024. godina. </w:t>
      </w:r>
    </w:p>
    <w:p w14:paraId="4844B4E6" w14:textId="77777777" w:rsidR="00B34A8B" w:rsidRPr="000C5CA4" w:rsidRDefault="00B34A8B" w:rsidP="00B34A8B">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Kontinuitet u jačanju kapaciteta Koordinacionog tijela nastavljen je i u 2024. godini. Pored aktivnosti na izradi i prezentaciji izvještaja nadležnim institucijama, članovi Koordinacionog tijela su učestvovali u edukacijama, radionicama i redovnim sastancima tijela. Posebno je važno istaknuti da je krajem 2023. godine Komisija za jednakopravnost spolova od Koordinacionog tijela zatražila informaciju o realiziranim aktivnostima u 2023. godini, na što je Koordinaciono tijelo odgovorilo dostavljanjem informacije akt broj: 09/1-04-33301/23 od 22.12.2023. godine.</w:t>
      </w:r>
    </w:p>
    <w:p w14:paraId="0EDCAAE8" w14:textId="77777777" w:rsidR="00B34A8B" w:rsidRPr="000C5CA4" w:rsidRDefault="00B34A8B" w:rsidP="00B34A8B">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 xml:space="preserve">Komisija je na sjednici održanoj 30.01.2024. godine razmatrala dostavljenu informaciju i donijela zaključak kojim se daje podrška budžetskom zahtjevu Koordinacionog tijela za osiguranje sredstava u Budžetu Tuzlanskog kantona za 2024. godinu. Zaključak se odnosi na potrebu </w:t>
      </w:r>
      <w:r w:rsidRPr="000C5CA4">
        <w:rPr>
          <w:rFonts w:asciiTheme="majorHAnsi" w:hAnsiTheme="majorHAnsi"/>
          <w:sz w:val="22"/>
          <w:szCs w:val="22"/>
          <w:lang w:val="bs-Latn-BA"/>
        </w:rPr>
        <w:lastRenderedPageBreak/>
        <w:t>obezbjeđenja finansijskih sredstava za edukaciju osoba koje su zadužene za implementaciju Gender akcionog plana, kao i za rad članova Koordinacionog tijela.</w:t>
      </w:r>
    </w:p>
    <w:p w14:paraId="42954778" w14:textId="77777777" w:rsidR="00B34A8B" w:rsidRPr="000C5CA4" w:rsidRDefault="00B34A8B" w:rsidP="00B34A8B">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U okviru aktivnosti u vezi edukacije, Koordinacioni tim je 5. juna 2024. godine prisustvovao radionici na temu „Implementacija rodno odgovornog budžetiranja u Bosni i Hercegovini – izazovi i podrška“, koja je održana u Tuzli. Radionicu je organizovala Komisija za jednakopravnost spolova Tuzlanskog kantona uz podršku Misije OSCE-a u Bosni i Hercegovini, a sa ciljem promocije i podrške provođenju Gender akcionog plana i drugih dokumenata iz oblasti ravnopravnosti spolova. Fokus radionice bio je na jačanju kapaciteta institucija Tuzlanskog kantona za uvođenje rodno odgovornog pristupa u proces planiranja i donošenja budžeta, kao ključnog segmenta programskog budžetiranja.</w:t>
      </w:r>
    </w:p>
    <w:p w14:paraId="73E3A17B" w14:textId="77777777" w:rsidR="00B34A8B" w:rsidRPr="000C5CA4" w:rsidRDefault="00B34A8B" w:rsidP="006923BC">
      <w:pPr>
        <w:pStyle w:val="NormalWeb"/>
        <w:spacing w:before="0" w:beforeAutospacing="0" w:after="160" w:afterAutospacing="0"/>
        <w:ind w:right="6"/>
        <w:rPr>
          <w:rFonts w:asciiTheme="majorHAnsi" w:hAnsiTheme="majorHAnsi"/>
          <w:sz w:val="22"/>
          <w:szCs w:val="22"/>
          <w:lang w:val="bs-Latn-BA"/>
        </w:rPr>
      </w:pPr>
      <w:r w:rsidRPr="000C5CA4">
        <w:rPr>
          <w:rFonts w:asciiTheme="majorHAnsi" w:hAnsiTheme="majorHAnsi"/>
          <w:sz w:val="22"/>
          <w:szCs w:val="22"/>
          <w:lang w:val="bs-Latn-BA"/>
        </w:rPr>
        <w:t>Radionicu je vodio gospodin Elvis Bebaković, šef Odsjeka za pripremu i izradu Budžeta Ministarstva finansija Federacije Bosne i Hercegovine. Učesnici su imali priliku da se detaljno upoznaju sa pravnim okvirom koji reguliše ovu oblast, obavezama institucija, kao i konkretnim primjerima iz prakse u vezi s rodno odgovornim budžetiranjem.</w:t>
      </w:r>
    </w:p>
    <w:p w14:paraId="7EB6D22F" w14:textId="20214C59" w:rsidR="00B34A8B" w:rsidRPr="000C5CA4" w:rsidRDefault="00B34A8B" w:rsidP="006923BC">
      <w:pPr>
        <w:spacing w:after="160" w:line="240" w:lineRule="auto"/>
        <w:rPr>
          <w:rFonts w:eastAsia="Times New Roman"/>
          <w:sz w:val="22"/>
          <w:lang w:eastAsia="en-GB"/>
        </w:rPr>
      </w:pPr>
      <w:r w:rsidRPr="000C5CA4">
        <w:rPr>
          <w:rFonts w:eastAsia="Times New Roman"/>
          <w:sz w:val="22"/>
          <w:lang w:eastAsia="en-GB"/>
        </w:rPr>
        <w:t>Ministarstvo finansija je postupalo u skladu sa načelom rodno odgovornog budžetiranja kao horizontalnim principom koji se primjenjuje prilikom kreiranja programa budžetskih korisnika i pripreme kantonalnog budžeta.</w:t>
      </w:r>
    </w:p>
    <w:p w14:paraId="4D6A5D54" w14:textId="77777777" w:rsidR="006923BC" w:rsidRPr="000C5CA4" w:rsidRDefault="00B34A8B" w:rsidP="006923BC">
      <w:pPr>
        <w:spacing w:after="160" w:line="240" w:lineRule="auto"/>
        <w:rPr>
          <w:rFonts w:eastAsia="Times New Roman"/>
          <w:sz w:val="22"/>
          <w:szCs w:val="20"/>
          <w:lang w:eastAsia="en-GB"/>
        </w:rPr>
      </w:pPr>
      <w:r w:rsidRPr="000C5CA4">
        <w:rPr>
          <w:rFonts w:eastAsia="Times New Roman"/>
          <w:sz w:val="22"/>
          <w:szCs w:val="20"/>
          <w:lang w:eastAsia="en-GB"/>
        </w:rPr>
        <w:t xml:space="preserve">Budžetom Tuzlanskog kantona za 2024. godinu predviđena su budžetska sredstva za određene programe koji uključuju i dimenziju rodne ravnopravnosti, u skladu sa nadležnostima i djelokrugom rada pojedinih budžetskih korisnika, gdje je to bilo primjenjivo. Navedeni aspekti su tekstualno obrazloženi unutar budžetskih dokumenata. </w:t>
      </w:r>
    </w:p>
    <w:p w14:paraId="46AA417F" w14:textId="0D15E4E4" w:rsidR="00B34A8B" w:rsidRPr="000C5CA4" w:rsidRDefault="00B34A8B" w:rsidP="006923BC">
      <w:pPr>
        <w:spacing w:after="160" w:line="240" w:lineRule="auto"/>
        <w:rPr>
          <w:rFonts w:eastAsia="Times New Roman"/>
          <w:sz w:val="22"/>
          <w:szCs w:val="20"/>
          <w:lang w:eastAsia="en-GB"/>
        </w:rPr>
      </w:pPr>
      <w:r w:rsidRPr="000C5CA4">
        <w:rPr>
          <w:rFonts w:eastAsia="Times New Roman"/>
          <w:sz w:val="22"/>
          <w:szCs w:val="20"/>
          <w:lang w:eastAsia="en-GB"/>
        </w:rPr>
        <w:t>Također, Budžetom Tuzlanskog kantona za 2025. godinu sadržani su programi koji uključuju aspekt rodne ravnopravnosti, tamo gdje je to bilo moguće.</w:t>
      </w:r>
    </w:p>
    <w:p w14:paraId="0C9F78AF" w14:textId="77777777" w:rsidR="00B34A8B" w:rsidRPr="000C5CA4" w:rsidRDefault="00B34A8B" w:rsidP="006923BC">
      <w:pPr>
        <w:spacing w:after="160" w:line="240" w:lineRule="auto"/>
        <w:rPr>
          <w:rFonts w:eastAsia="Times New Roman"/>
          <w:sz w:val="22"/>
          <w:szCs w:val="20"/>
          <w:lang w:eastAsia="en-GB"/>
        </w:rPr>
      </w:pPr>
      <w:r w:rsidRPr="000C5CA4">
        <w:rPr>
          <w:rFonts w:eastAsia="Times New Roman"/>
          <w:sz w:val="22"/>
          <w:szCs w:val="20"/>
          <w:lang w:eastAsia="en-GB"/>
        </w:rPr>
        <w:t>Ministarstvo finansija planira da u narednom periodu, u okviru redovnog budžetskog procesa, a prilikom dostavljanja Instrukcija broj 1 i broj 2 budžetskim korisnicima, jasno definiše obavezu dostavljanja podataka koji se odnose na primjenu ili mogućnost primjene principa rodne ravnopravnosti. Budžetski korisnici će biti pozvani da, uz obrazloženja svojih budžetskih zahtjeva, dostave i procjenu uticaja svojih programa na ravnopravnost spolova.</w:t>
      </w:r>
    </w:p>
    <w:p w14:paraId="5CE5995B" w14:textId="77777777" w:rsidR="00B34A8B" w:rsidRPr="000C5CA4" w:rsidRDefault="00B34A8B" w:rsidP="006923BC">
      <w:pPr>
        <w:spacing w:after="160" w:line="240" w:lineRule="auto"/>
        <w:rPr>
          <w:rFonts w:eastAsia="Times New Roman"/>
          <w:sz w:val="22"/>
          <w:szCs w:val="20"/>
          <w:lang w:eastAsia="en-GB"/>
        </w:rPr>
      </w:pPr>
      <w:r w:rsidRPr="000C5CA4">
        <w:rPr>
          <w:rFonts w:eastAsia="Times New Roman"/>
          <w:sz w:val="22"/>
          <w:szCs w:val="20"/>
          <w:lang w:eastAsia="en-GB"/>
        </w:rPr>
        <w:t>Međutim, neophodno je napomenuti da se u Federaciji Bosne i Hercegovine još uvijek usvajaju budžeti koji su strukturirani prema linijskom (klasičnom) modelu, bez potpune operacionalizacije programskog budžetiranja. Budžetski korisnici stoga još uvijek ne izrađuju budžetske zahtjeve u programskom formatu, što predstavlja tehnički preduslov za punu primjenu rodno odgovornog budžetiranja.</w:t>
      </w:r>
    </w:p>
    <w:p w14:paraId="6F391258" w14:textId="77777777" w:rsidR="00B34A8B" w:rsidRPr="000C5CA4" w:rsidRDefault="00B34A8B" w:rsidP="006923BC">
      <w:pPr>
        <w:spacing w:after="160" w:line="240" w:lineRule="auto"/>
        <w:rPr>
          <w:rFonts w:eastAsia="Times New Roman"/>
          <w:sz w:val="22"/>
          <w:szCs w:val="20"/>
          <w:lang w:eastAsia="en-GB"/>
        </w:rPr>
      </w:pPr>
      <w:r w:rsidRPr="000C5CA4">
        <w:rPr>
          <w:rFonts w:eastAsia="Times New Roman"/>
          <w:sz w:val="22"/>
          <w:szCs w:val="20"/>
          <w:lang w:eastAsia="en-GB"/>
        </w:rPr>
        <w:t>U skladu sa Zakonom o budžetima Federacije BiH, implementacija programskog budžetiranja planirana je postupno, i to:</w:t>
      </w:r>
    </w:p>
    <w:p w14:paraId="7B81B572" w14:textId="77777777" w:rsidR="00B34A8B" w:rsidRPr="000C5CA4" w:rsidRDefault="00B34A8B" w:rsidP="006923BC">
      <w:pPr>
        <w:widowControl/>
        <w:numPr>
          <w:ilvl w:val="0"/>
          <w:numId w:val="37"/>
        </w:numPr>
        <w:tabs>
          <w:tab w:val="clear" w:pos="5103"/>
        </w:tabs>
        <w:autoSpaceDE/>
        <w:autoSpaceDN/>
        <w:spacing w:after="160" w:line="240" w:lineRule="auto"/>
        <w:ind w:right="0"/>
        <w:rPr>
          <w:rFonts w:eastAsia="Times New Roman"/>
          <w:sz w:val="22"/>
          <w:szCs w:val="20"/>
          <w:lang w:eastAsia="en-GB"/>
        </w:rPr>
      </w:pPr>
      <w:r w:rsidRPr="000C5CA4">
        <w:rPr>
          <w:rFonts w:eastAsia="Times New Roman"/>
          <w:sz w:val="22"/>
          <w:szCs w:val="20"/>
          <w:lang w:eastAsia="en-GB"/>
        </w:rPr>
        <w:t>Od budžetskog ciklusa za 2026. godinu za nivo Federacije BiH i vanbudžetske fondove na tom nivou,</w:t>
      </w:r>
    </w:p>
    <w:p w14:paraId="3A1AE3CE" w14:textId="77777777" w:rsidR="00B34A8B" w:rsidRPr="000C5CA4" w:rsidRDefault="00B34A8B" w:rsidP="006923BC">
      <w:pPr>
        <w:widowControl/>
        <w:numPr>
          <w:ilvl w:val="0"/>
          <w:numId w:val="37"/>
        </w:numPr>
        <w:tabs>
          <w:tab w:val="clear" w:pos="5103"/>
        </w:tabs>
        <w:autoSpaceDE/>
        <w:autoSpaceDN/>
        <w:spacing w:after="160" w:line="240" w:lineRule="auto"/>
        <w:ind w:right="0"/>
        <w:rPr>
          <w:rFonts w:eastAsia="Times New Roman"/>
          <w:sz w:val="22"/>
          <w:szCs w:val="20"/>
          <w:lang w:eastAsia="en-GB"/>
        </w:rPr>
      </w:pPr>
      <w:r w:rsidRPr="000C5CA4">
        <w:rPr>
          <w:rFonts w:eastAsia="Times New Roman"/>
          <w:sz w:val="22"/>
          <w:szCs w:val="20"/>
          <w:lang w:eastAsia="en-GB"/>
        </w:rPr>
        <w:t>Od budžetskog ciklusa za 2028. godinu za nivo kantona i vanbudžetske fondove na nivou kantona.</w:t>
      </w:r>
    </w:p>
    <w:p w14:paraId="5103AD8E" w14:textId="34A22663" w:rsidR="00B34A8B" w:rsidRPr="000C5CA4" w:rsidRDefault="00B34A8B" w:rsidP="006923BC">
      <w:pPr>
        <w:spacing w:after="160" w:line="240" w:lineRule="auto"/>
        <w:rPr>
          <w:sz w:val="22"/>
          <w:szCs w:val="20"/>
        </w:rPr>
      </w:pPr>
      <w:r w:rsidRPr="000C5CA4">
        <w:rPr>
          <w:rFonts w:eastAsia="Times New Roman"/>
          <w:sz w:val="22"/>
          <w:szCs w:val="20"/>
          <w:lang w:eastAsia="en-GB"/>
        </w:rPr>
        <w:t>Tek primjenom programskog budžetiranja stvoriće se tehnički uslovi za punu implementaciju rodno odgovornog budžetiranja</w:t>
      </w:r>
    </w:p>
    <w:p w14:paraId="3B0A9272" w14:textId="47F493D1" w:rsidR="00C42B01" w:rsidRPr="000C5CA4" w:rsidRDefault="00C42B01" w:rsidP="006923BC">
      <w:pPr>
        <w:spacing w:after="160" w:line="240" w:lineRule="auto"/>
        <w:rPr>
          <w:sz w:val="22"/>
          <w:szCs w:val="20"/>
        </w:rPr>
      </w:pPr>
      <w:r w:rsidRPr="000C5CA4">
        <w:rPr>
          <w:sz w:val="22"/>
          <w:szCs w:val="20"/>
        </w:rPr>
        <w:t xml:space="preserve">Na sjednici Vlade Tuzlanskog kantona održanoj 30. aprila 2024. godine, donesena je odluka o prihvatanju Izvještaja o provođenju Gender akcionog plana TK za period od 1. januara do 31. decembra 2023. godine, a Vlada je zadužila sve nadležne institucije da nastave s realizacijom obaveza iz Gender akcionog plana 2021–2024, te da u tom procesu aktivno sarađuju sa </w:t>
      </w:r>
      <w:r w:rsidRPr="000C5CA4">
        <w:rPr>
          <w:sz w:val="22"/>
          <w:szCs w:val="20"/>
        </w:rPr>
        <w:lastRenderedPageBreak/>
        <w:t>Koordinacionim odborom.</w:t>
      </w:r>
      <w:r w:rsidR="001025E1" w:rsidRPr="000C5CA4">
        <w:rPr>
          <w:rStyle w:val="FootnoteReference"/>
          <w:sz w:val="22"/>
          <w:szCs w:val="20"/>
        </w:rPr>
        <w:footnoteReference w:id="2"/>
      </w:r>
    </w:p>
    <w:p w14:paraId="5432C9AD" w14:textId="7582FCA6" w:rsidR="00C15080" w:rsidRPr="000C5CA4" w:rsidRDefault="00586E93" w:rsidP="006923BC">
      <w:pPr>
        <w:spacing w:after="160" w:line="240" w:lineRule="auto"/>
        <w:rPr>
          <w:sz w:val="22"/>
          <w:szCs w:val="20"/>
        </w:rPr>
      </w:pPr>
      <w:r w:rsidRPr="000C5CA4">
        <w:rPr>
          <w:sz w:val="22"/>
          <w:szCs w:val="20"/>
        </w:rPr>
        <w:t>Na sjednici Vlade Tuzlanskog kantona održanoj 22. aprila 2025. godine, donesena je odluka o prihvatanju Izvještaja o provođenju Gender akcionog plana TK za period od 2021. do 2024.  godine. Vlada je zadužila sve nadležne institucije da kontinuirano sprovode obaveze proistekle iz Gender akcionog plana 2021–2024, te da u tom procesu aktivno sarađuju sa Koordinacionim odborom.</w:t>
      </w:r>
      <w:r w:rsidR="00C15080" w:rsidRPr="000C5CA4">
        <w:rPr>
          <w:sz w:val="22"/>
          <w:szCs w:val="20"/>
        </w:rPr>
        <w:t xml:space="preserve"> Također, zadužen je Koordinacioni odbor da izvrši revidiranje Gender akcionog plana Tuzlanskog kantona, odnosno izradi novi Gender akcioni plan Tuzlanskog kantona za period 2025-2028. godina, te isti dostavi Vladi Tuzlanskog kantona n</w:t>
      </w:r>
      <w:r w:rsidR="00C42B01" w:rsidRPr="000C5CA4">
        <w:rPr>
          <w:sz w:val="22"/>
          <w:szCs w:val="20"/>
        </w:rPr>
        <w:t>a usvajanje u roku od 60 dana.</w:t>
      </w:r>
      <w:r w:rsidR="001025E1" w:rsidRPr="000C5CA4">
        <w:rPr>
          <w:rStyle w:val="FootnoteReference"/>
          <w:i/>
          <w:sz w:val="22"/>
          <w:szCs w:val="20"/>
        </w:rPr>
        <w:t xml:space="preserve"> </w:t>
      </w:r>
      <w:r w:rsidR="001025E1" w:rsidRPr="000C5CA4">
        <w:rPr>
          <w:rStyle w:val="FootnoteReference"/>
          <w:i/>
          <w:sz w:val="22"/>
          <w:szCs w:val="20"/>
        </w:rPr>
        <w:footnoteReference w:id="3"/>
      </w:r>
      <w:r w:rsidR="00C42B01" w:rsidRPr="000C5CA4">
        <w:rPr>
          <w:sz w:val="22"/>
          <w:szCs w:val="20"/>
        </w:rPr>
        <w:t xml:space="preserve"> N</w:t>
      </w:r>
      <w:r w:rsidR="00C15080" w:rsidRPr="000C5CA4">
        <w:rPr>
          <w:sz w:val="22"/>
          <w:szCs w:val="20"/>
        </w:rPr>
        <w:t>a ovaj način je osiguran kontinuitet u primjeni zakonskih propisa, uz jasno iskazanu posvećenost postizanju stvarne ravnopravnosti spolova.</w:t>
      </w:r>
      <w:r w:rsidR="001B5789" w:rsidRPr="000C5CA4">
        <w:rPr>
          <w:rStyle w:val="FootnoteReference"/>
          <w:i/>
          <w:sz w:val="22"/>
          <w:szCs w:val="20"/>
        </w:rPr>
        <w:t xml:space="preserve"> </w:t>
      </w:r>
    </w:p>
    <w:p w14:paraId="646A6042" w14:textId="5FFBA8FA" w:rsidR="00C15080" w:rsidRPr="000C5CA4" w:rsidRDefault="00C15080" w:rsidP="00586E93">
      <w:pPr>
        <w:rPr>
          <w:sz w:val="22"/>
          <w:szCs w:val="20"/>
        </w:rPr>
      </w:pPr>
    </w:p>
    <w:p w14:paraId="7E729BF5" w14:textId="77777777" w:rsidR="00ED28FE" w:rsidRPr="000C5CA4" w:rsidRDefault="00ED28FE" w:rsidP="00672AC4">
      <w:pPr>
        <w:spacing w:line="276" w:lineRule="auto"/>
        <w:rPr>
          <w:sz w:val="22"/>
          <w:szCs w:val="20"/>
        </w:rPr>
      </w:pPr>
    </w:p>
    <w:p w14:paraId="0DD5FFEA" w14:textId="655189E4" w:rsidR="00ED28FE" w:rsidRPr="000C5CA4" w:rsidRDefault="00ED28FE" w:rsidP="00672AC4">
      <w:pPr>
        <w:spacing w:line="276" w:lineRule="auto"/>
        <w:rPr>
          <w:b/>
          <w:sz w:val="22"/>
          <w:szCs w:val="20"/>
        </w:rPr>
      </w:pPr>
      <w:r w:rsidRPr="000C5CA4">
        <w:rPr>
          <w:b/>
          <w:sz w:val="22"/>
          <w:szCs w:val="20"/>
        </w:rPr>
        <w:t>Javne politike za ravnopravnost spolova u BiH</w:t>
      </w:r>
    </w:p>
    <w:p w14:paraId="0423D5A9" w14:textId="77777777" w:rsidR="006C2D6D" w:rsidRPr="000C5CA4" w:rsidRDefault="006C2D6D" w:rsidP="00672AC4">
      <w:pPr>
        <w:spacing w:line="276" w:lineRule="auto"/>
        <w:rPr>
          <w:b/>
          <w:sz w:val="22"/>
          <w:szCs w:val="20"/>
        </w:rPr>
      </w:pPr>
    </w:p>
    <w:p w14:paraId="65C77BDD" w14:textId="088BC0B9" w:rsidR="00ED28FE" w:rsidRPr="000C5CA4" w:rsidRDefault="00ED28FE" w:rsidP="00672AC4">
      <w:pPr>
        <w:spacing w:line="276" w:lineRule="auto"/>
        <w:rPr>
          <w:sz w:val="22"/>
          <w:szCs w:val="20"/>
        </w:rPr>
      </w:pPr>
      <w:r w:rsidRPr="000C5CA4">
        <w:rPr>
          <w:sz w:val="22"/>
          <w:szCs w:val="20"/>
        </w:rPr>
        <w:t>Kako bi se osigurala dosljedna implementacija Zakona o ravnopravnosti spolova u BiH 2006. godine, usvojen je prvi Gender akcioni plan u BiH (GAP BiH) („Službeni glasnik B</w:t>
      </w:r>
      <w:r w:rsidR="007A4FA5" w:rsidRPr="000C5CA4">
        <w:rPr>
          <w:sz w:val="22"/>
          <w:szCs w:val="20"/>
        </w:rPr>
        <w:t xml:space="preserve">iH“, broj 41/09) za period 2006 – </w:t>
      </w:r>
      <w:r w:rsidRPr="000C5CA4">
        <w:rPr>
          <w:sz w:val="22"/>
          <w:szCs w:val="20"/>
        </w:rPr>
        <w:t xml:space="preserve">2011., kao prvi strateški dokument za uvođenje principa ravnopravnosti spolova u sve oblasti javnog i privatnog života (eng. </w:t>
      </w:r>
      <w:r w:rsidRPr="000C5CA4">
        <w:rPr>
          <w:i/>
          <w:sz w:val="22"/>
          <w:szCs w:val="20"/>
        </w:rPr>
        <w:t>gender mainstreaming</w:t>
      </w:r>
      <w:r w:rsidRPr="000C5CA4">
        <w:rPr>
          <w:sz w:val="22"/>
          <w:szCs w:val="20"/>
        </w:rPr>
        <w:t xml:space="preserve">). </w:t>
      </w:r>
    </w:p>
    <w:p w14:paraId="30E7AE8B" w14:textId="77777777" w:rsidR="00ED28FE" w:rsidRPr="000C5CA4" w:rsidRDefault="00ED28FE" w:rsidP="00672AC4">
      <w:pPr>
        <w:spacing w:line="276" w:lineRule="auto"/>
        <w:rPr>
          <w:sz w:val="22"/>
          <w:szCs w:val="20"/>
        </w:rPr>
      </w:pPr>
    </w:p>
    <w:p w14:paraId="431FDB7E" w14:textId="60E8A755" w:rsidR="00ED28FE" w:rsidRPr="000C5CA4" w:rsidRDefault="00ED28FE" w:rsidP="00672AC4">
      <w:pPr>
        <w:spacing w:line="276" w:lineRule="auto"/>
        <w:rPr>
          <w:sz w:val="22"/>
          <w:szCs w:val="20"/>
        </w:rPr>
      </w:pPr>
      <w:r w:rsidRPr="000C5CA4">
        <w:rPr>
          <w:sz w:val="22"/>
          <w:szCs w:val="20"/>
        </w:rPr>
        <w:t>Drugi GAP BiH usvojen je 2013. godine („Službeni glasnik Bi</w:t>
      </w:r>
      <w:r w:rsidR="007A4FA5" w:rsidRPr="000C5CA4">
        <w:rPr>
          <w:sz w:val="22"/>
          <w:szCs w:val="20"/>
        </w:rPr>
        <w:t xml:space="preserve">H“, broj 98/13) za period 2013 – 2017. a treći za period 2018 – </w:t>
      </w:r>
      <w:r w:rsidRPr="000C5CA4">
        <w:rPr>
          <w:sz w:val="22"/>
          <w:szCs w:val="20"/>
        </w:rPr>
        <w:t xml:space="preserve">2022. godine. Ovaj strateški dokument sadrži strateške ciljeve, koji definišu prioritetne oblasti djelovanja, te programe i mjere za ostvarivanje tih ciljeva. Jedna od prioritetnih oblasti je rad, zapošljavanje i pristup ekonomskim resursima. </w:t>
      </w:r>
    </w:p>
    <w:p w14:paraId="5868623C" w14:textId="378D8964" w:rsidR="001025E1" w:rsidRPr="000C5CA4" w:rsidRDefault="001025E1" w:rsidP="00672AC4">
      <w:pPr>
        <w:spacing w:line="276" w:lineRule="auto"/>
        <w:rPr>
          <w:sz w:val="22"/>
          <w:szCs w:val="20"/>
        </w:rPr>
      </w:pPr>
    </w:p>
    <w:p w14:paraId="65963C31" w14:textId="77777777" w:rsidR="001025E1" w:rsidRPr="000C5CA4" w:rsidRDefault="001025E1" w:rsidP="001025E1">
      <w:pPr>
        <w:spacing w:line="276" w:lineRule="auto"/>
        <w:rPr>
          <w:b/>
          <w:sz w:val="22"/>
          <w:szCs w:val="20"/>
        </w:rPr>
      </w:pPr>
      <w:r w:rsidRPr="000C5CA4">
        <w:rPr>
          <w:sz w:val="22"/>
          <w:szCs w:val="20"/>
        </w:rPr>
        <w:t xml:space="preserve">Na sjednici  održanoj 18.10.2023. godine, Vijeće ministara Bosne i Hercegovine je na prijedlog Ministarstva za ljudska prava i izbjeglice BiH donijelo Odluku o usvajanju Gender </w:t>
      </w:r>
      <w:r w:rsidRPr="000C5CA4">
        <w:rPr>
          <w:rStyle w:val="Strong"/>
          <w:b w:val="0"/>
          <w:sz w:val="22"/>
          <w:szCs w:val="20"/>
        </w:rPr>
        <w:t>akcionog plana Bosne i Hercegovine za period 2023-2027. godine sa operativnim planom institucija Bosne i Hercegovine za implementaciju Gender akcionog plana Bosne i Hercegovine 2023-2027. godina („Službeni glasnik BiH“, broj 82/23).</w:t>
      </w:r>
      <w:r w:rsidRPr="000C5CA4">
        <w:rPr>
          <w:rStyle w:val="FootnoteReference"/>
          <w:bCs/>
          <w:sz w:val="22"/>
          <w:szCs w:val="20"/>
        </w:rPr>
        <w:footnoteReference w:id="4"/>
      </w:r>
    </w:p>
    <w:p w14:paraId="3834582D" w14:textId="77777777" w:rsidR="00ED28FE" w:rsidRPr="000C5CA4" w:rsidRDefault="00ED28FE" w:rsidP="00672AC4">
      <w:pPr>
        <w:spacing w:line="276" w:lineRule="auto"/>
        <w:rPr>
          <w:sz w:val="22"/>
          <w:szCs w:val="20"/>
        </w:rPr>
      </w:pPr>
    </w:p>
    <w:p w14:paraId="4B27834C" w14:textId="77777777" w:rsidR="00ED28FE" w:rsidRPr="000C5CA4" w:rsidRDefault="00ED28FE" w:rsidP="00672AC4">
      <w:pPr>
        <w:spacing w:line="276" w:lineRule="auto"/>
        <w:rPr>
          <w:sz w:val="22"/>
          <w:szCs w:val="20"/>
        </w:rPr>
      </w:pPr>
      <w:r w:rsidRPr="000C5CA4">
        <w:rPr>
          <w:sz w:val="22"/>
          <w:szCs w:val="20"/>
        </w:rPr>
        <w:t xml:space="preserve">Cilj GAP BiH je da usmjeri resorna ministarstva i druge institucije u radu na uključivanju principa ravnopravnosti spolova u skladu sa članom 24. Zakona o ravnopravnosti spolova BiH, koji propisuje obaveze nadležnih institucija na svim nivoima vlasti u BiH. Na osnovu GAP BiH-a, institucije BiH donose godišnje operativne planove koji omogućavaju sistemsko i koordinirano djelovanje u procesu </w:t>
      </w:r>
      <w:r w:rsidRPr="000C5CA4">
        <w:rPr>
          <w:i/>
          <w:sz w:val="22"/>
          <w:szCs w:val="20"/>
        </w:rPr>
        <w:t xml:space="preserve">gender minstreaming-a </w:t>
      </w:r>
      <w:r w:rsidRPr="000C5CA4">
        <w:rPr>
          <w:sz w:val="22"/>
          <w:szCs w:val="20"/>
        </w:rPr>
        <w:t xml:space="preserve">u institucijama. </w:t>
      </w:r>
    </w:p>
    <w:p w14:paraId="45E4E95A" w14:textId="77777777" w:rsidR="00ED28FE" w:rsidRPr="000C5CA4" w:rsidRDefault="00ED28FE" w:rsidP="00672AC4">
      <w:pPr>
        <w:spacing w:line="276" w:lineRule="auto"/>
        <w:rPr>
          <w:sz w:val="22"/>
          <w:szCs w:val="20"/>
        </w:rPr>
      </w:pPr>
    </w:p>
    <w:p w14:paraId="79D90D5D" w14:textId="0C3E5984" w:rsidR="00ED28FE" w:rsidRPr="000C5CA4" w:rsidRDefault="000C5CA4" w:rsidP="002F4749">
      <w:pPr>
        <w:spacing w:line="276" w:lineRule="auto"/>
        <w:rPr>
          <w:sz w:val="22"/>
          <w:szCs w:val="20"/>
        </w:rPr>
      </w:pPr>
      <w:r w:rsidRPr="000C5CA4">
        <w:rPr>
          <w:sz w:val="22"/>
          <w:szCs w:val="20"/>
        </w:rPr>
        <w:t xml:space="preserve">Pored toga jedan od najznačajnih dokumenata u oblasti ravnopravnosti spolova u oblasti nasilja u porodici je </w:t>
      </w:r>
      <w:r w:rsidR="002F4749" w:rsidRPr="000C5CA4">
        <w:rPr>
          <w:sz w:val="22"/>
          <w:szCs w:val="20"/>
        </w:rPr>
        <w:t>Strategija za prevenciju i borbu protiv nasilja u porodici 2024. – 2027. godina.</w:t>
      </w:r>
      <w:r w:rsidR="002F4749" w:rsidRPr="000C5CA4">
        <w:rPr>
          <w:rStyle w:val="FootnoteReference"/>
          <w:sz w:val="22"/>
          <w:szCs w:val="20"/>
        </w:rPr>
        <w:footnoteReference w:id="5"/>
      </w:r>
    </w:p>
    <w:p w14:paraId="0ACABD8A" w14:textId="715EA247" w:rsidR="00ED28FE" w:rsidRPr="000C5CA4" w:rsidRDefault="00ED28FE" w:rsidP="00672AC4">
      <w:pPr>
        <w:pStyle w:val="Heading2"/>
        <w:spacing w:line="276" w:lineRule="auto"/>
        <w:rPr>
          <w:sz w:val="22"/>
          <w:szCs w:val="22"/>
        </w:rPr>
      </w:pPr>
      <w:bookmarkStart w:id="13" w:name="_Toc79420455"/>
      <w:bookmarkStart w:id="14" w:name="_Toc200303202"/>
      <w:bookmarkStart w:id="15" w:name="_Toc73392271"/>
      <w:bookmarkStart w:id="16" w:name="_Toc74118436"/>
      <w:r w:rsidRPr="000C5CA4">
        <w:rPr>
          <w:sz w:val="22"/>
          <w:szCs w:val="22"/>
        </w:rPr>
        <w:t xml:space="preserve">Pravni okvir za izradu Gender akcionog i finansijskog plana </w:t>
      </w:r>
      <w:r w:rsidR="00D421FF" w:rsidRPr="000C5CA4">
        <w:rPr>
          <w:sz w:val="22"/>
          <w:szCs w:val="22"/>
        </w:rPr>
        <w:t>Tuzlanskog kantona</w:t>
      </w:r>
      <w:bookmarkEnd w:id="13"/>
      <w:bookmarkEnd w:id="14"/>
      <w:r w:rsidR="00D421FF" w:rsidRPr="000C5CA4">
        <w:rPr>
          <w:sz w:val="22"/>
          <w:szCs w:val="22"/>
        </w:rPr>
        <w:t xml:space="preserve"> </w:t>
      </w:r>
      <w:bookmarkEnd w:id="15"/>
      <w:bookmarkEnd w:id="16"/>
    </w:p>
    <w:p w14:paraId="1ED6025E" w14:textId="77777777" w:rsidR="00ED28FE" w:rsidRPr="000C5CA4" w:rsidRDefault="00ED28FE" w:rsidP="00672AC4">
      <w:pPr>
        <w:pStyle w:val="BodyText"/>
        <w:rPr>
          <w:sz w:val="22"/>
          <w:szCs w:val="20"/>
        </w:rPr>
      </w:pPr>
    </w:p>
    <w:p w14:paraId="1325A293" w14:textId="27A4194C" w:rsidR="00ED28FE" w:rsidRPr="000C5CA4" w:rsidRDefault="00ED28FE" w:rsidP="00672AC4">
      <w:pPr>
        <w:spacing w:line="276" w:lineRule="auto"/>
        <w:rPr>
          <w:sz w:val="22"/>
          <w:szCs w:val="20"/>
        </w:rPr>
      </w:pPr>
      <w:r w:rsidRPr="000C5CA4">
        <w:rPr>
          <w:b/>
          <w:sz w:val="22"/>
          <w:szCs w:val="20"/>
        </w:rPr>
        <w:t xml:space="preserve">Gender akcioni i finansijski plan (GAP) </w:t>
      </w:r>
      <w:r w:rsidR="00D421FF" w:rsidRPr="000C5CA4">
        <w:rPr>
          <w:b/>
          <w:sz w:val="22"/>
          <w:szCs w:val="20"/>
          <w:u w:color="92D050"/>
        </w:rPr>
        <w:t xml:space="preserve">Tuzlanskog kantona </w:t>
      </w:r>
      <w:r w:rsidRPr="000C5CA4">
        <w:rPr>
          <w:sz w:val="22"/>
          <w:szCs w:val="20"/>
        </w:rPr>
        <w:t>je strateško-planski dokument koji</w:t>
      </w:r>
      <w:r w:rsidR="005363DF" w:rsidRPr="000C5CA4">
        <w:rPr>
          <w:sz w:val="22"/>
          <w:szCs w:val="20"/>
        </w:rPr>
        <w:t xml:space="preserve"> </w:t>
      </w:r>
      <w:r w:rsidRPr="000C5CA4">
        <w:rPr>
          <w:spacing w:val="-47"/>
          <w:sz w:val="22"/>
          <w:szCs w:val="20"/>
        </w:rPr>
        <w:t xml:space="preserve"> </w:t>
      </w:r>
      <w:r w:rsidRPr="000C5CA4">
        <w:rPr>
          <w:sz w:val="22"/>
          <w:szCs w:val="20"/>
        </w:rPr>
        <w:t xml:space="preserve">svojom implementacijom treba da potiče budući rast i razvoj zajednice, te unaprijedi ravnopravnost spolova u zajednici. Uvođenje principa ravnopravnosti spolova u razvojne </w:t>
      </w:r>
      <w:r w:rsidRPr="000C5CA4">
        <w:rPr>
          <w:sz w:val="22"/>
          <w:szCs w:val="20"/>
        </w:rPr>
        <w:lastRenderedPageBreak/>
        <w:t xml:space="preserve">politike, strategije, projekte i programe je od posebnog značaja na </w:t>
      </w:r>
      <w:r w:rsidRPr="000C5CA4">
        <w:rPr>
          <w:sz w:val="22"/>
          <w:szCs w:val="20"/>
          <w:u w:color="92D050"/>
        </w:rPr>
        <w:t>kantonalnom nivou</w:t>
      </w:r>
      <w:r w:rsidRPr="000C5CA4">
        <w:rPr>
          <w:sz w:val="22"/>
          <w:szCs w:val="20"/>
        </w:rPr>
        <w:t>, zbog nadležnosti koji kantonalni nivo vlasti ima.</w:t>
      </w:r>
    </w:p>
    <w:p w14:paraId="25DA8D63" w14:textId="77777777" w:rsidR="00ED28FE" w:rsidRPr="000C5CA4" w:rsidRDefault="00ED28FE" w:rsidP="00672AC4">
      <w:pPr>
        <w:spacing w:line="276" w:lineRule="auto"/>
        <w:rPr>
          <w:sz w:val="22"/>
          <w:szCs w:val="20"/>
        </w:rPr>
      </w:pPr>
    </w:p>
    <w:p w14:paraId="4C6EDA58" w14:textId="77777777" w:rsidR="00ED28FE" w:rsidRPr="000C5CA4" w:rsidRDefault="00ED28FE" w:rsidP="00672AC4">
      <w:pPr>
        <w:spacing w:line="276" w:lineRule="auto"/>
        <w:rPr>
          <w:sz w:val="22"/>
          <w:szCs w:val="20"/>
        </w:rPr>
      </w:pPr>
      <w:r w:rsidRPr="000C5CA4">
        <w:rPr>
          <w:sz w:val="22"/>
          <w:szCs w:val="20"/>
        </w:rPr>
        <w:t>Ravnopravnost spolova predstavlja jednaka prava i slobode, vidljivost i zastupljenost žena i muškaraca u svim područjima javnog i privatnog života. Postizanje ravnopravnosti spolova je ključno za zaštitu fundamentalnih ljudskih prava, razvijanje demokratskog društva, poštivanje vladavine prava, te ekonomski rast i konkurentnost. Iako je vidljiv napredak Bosne i Hercegovine u oblasti ravnopravnosti spolova razlike su prisutne u mnogim područjima.</w:t>
      </w:r>
    </w:p>
    <w:p w14:paraId="53BB3177" w14:textId="77777777" w:rsidR="00ED28FE" w:rsidRPr="000C5CA4" w:rsidRDefault="00ED28FE" w:rsidP="00672AC4">
      <w:pPr>
        <w:spacing w:line="276" w:lineRule="auto"/>
        <w:rPr>
          <w:sz w:val="22"/>
          <w:szCs w:val="20"/>
        </w:rPr>
      </w:pPr>
    </w:p>
    <w:p w14:paraId="4F6597B8" w14:textId="46AE0F8E" w:rsidR="00ED28FE" w:rsidRPr="000C5CA4" w:rsidRDefault="00ED28FE" w:rsidP="00672AC4">
      <w:pPr>
        <w:spacing w:line="276" w:lineRule="auto"/>
        <w:rPr>
          <w:sz w:val="22"/>
          <w:szCs w:val="20"/>
        </w:rPr>
      </w:pPr>
      <w:r w:rsidRPr="000C5CA4">
        <w:rPr>
          <w:sz w:val="22"/>
          <w:szCs w:val="20"/>
        </w:rPr>
        <w:t xml:space="preserve">Gender akcioni plan </w:t>
      </w:r>
      <w:r w:rsidR="00D421FF" w:rsidRPr="000C5CA4">
        <w:rPr>
          <w:sz w:val="22"/>
          <w:szCs w:val="20"/>
          <w:u w:color="92D050"/>
        </w:rPr>
        <w:t>TK</w:t>
      </w:r>
      <w:r w:rsidR="00D07F4E" w:rsidRPr="000C5CA4">
        <w:rPr>
          <w:sz w:val="22"/>
          <w:szCs w:val="20"/>
        </w:rPr>
        <w:t xml:space="preserve"> se odnosi z</w:t>
      </w:r>
      <w:r w:rsidR="005363DF" w:rsidRPr="000C5CA4">
        <w:rPr>
          <w:sz w:val="22"/>
          <w:szCs w:val="20"/>
        </w:rPr>
        <w:t>a period od 202</w:t>
      </w:r>
      <w:r w:rsidR="00D07F4E" w:rsidRPr="000C5CA4">
        <w:rPr>
          <w:sz w:val="22"/>
          <w:szCs w:val="20"/>
        </w:rPr>
        <w:t>5</w:t>
      </w:r>
      <w:r w:rsidRPr="000C5CA4">
        <w:rPr>
          <w:sz w:val="22"/>
          <w:szCs w:val="20"/>
        </w:rPr>
        <w:t>. do 202</w:t>
      </w:r>
      <w:r w:rsidR="00D07F4E" w:rsidRPr="000C5CA4">
        <w:rPr>
          <w:sz w:val="22"/>
          <w:szCs w:val="20"/>
        </w:rPr>
        <w:t>8</w:t>
      </w:r>
      <w:r w:rsidRPr="000C5CA4">
        <w:rPr>
          <w:sz w:val="22"/>
          <w:szCs w:val="20"/>
        </w:rPr>
        <w:t>. godine i usklađen je sa odgovarajućim strateškim dokumentima i politikama koje se odnose na ravnopravnosti spolova i to sa Zakonom o ravnopravnosti spolova Bosne i Hercegovine, Gender akcionim planom Bosne i Hercegovine (20</w:t>
      </w:r>
      <w:r w:rsidR="00D07F4E" w:rsidRPr="000C5CA4">
        <w:rPr>
          <w:sz w:val="22"/>
          <w:szCs w:val="20"/>
        </w:rPr>
        <w:t>23.-2027</w:t>
      </w:r>
      <w:r w:rsidRPr="000C5CA4">
        <w:rPr>
          <w:sz w:val="22"/>
          <w:szCs w:val="20"/>
        </w:rPr>
        <w:t>.), kao i sa drugim strategijama na državnom, entitetskom, i kantonalnom</w:t>
      </w:r>
      <w:r w:rsidRPr="000C5CA4">
        <w:rPr>
          <w:spacing w:val="-1"/>
          <w:sz w:val="22"/>
          <w:szCs w:val="20"/>
        </w:rPr>
        <w:t xml:space="preserve"> </w:t>
      </w:r>
      <w:r w:rsidRPr="000C5CA4">
        <w:rPr>
          <w:sz w:val="22"/>
          <w:szCs w:val="20"/>
        </w:rPr>
        <w:t>nivou.</w:t>
      </w:r>
    </w:p>
    <w:p w14:paraId="077A407E" w14:textId="77777777" w:rsidR="00ED28FE" w:rsidRPr="000C5CA4" w:rsidRDefault="00ED28FE" w:rsidP="00672AC4">
      <w:pPr>
        <w:pStyle w:val="BodyText"/>
        <w:rPr>
          <w:sz w:val="22"/>
          <w:szCs w:val="20"/>
        </w:rPr>
      </w:pPr>
    </w:p>
    <w:p w14:paraId="7808E2A9" w14:textId="7FBA79B2" w:rsidR="00ED28FE" w:rsidRPr="000C5CA4" w:rsidRDefault="00ED28FE" w:rsidP="00672AC4">
      <w:pPr>
        <w:spacing w:line="276" w:lineRule="auto"/>
        <w:rPr>
          <w:sz w:val="22"/>
          <w:szCs w:val="20"/>
        </w:rPr>
      </w:pPr>
      <w:r w:rsidRPr="000C5CA4">
        <w:rPr>
          <w:sz w:val="22"/>
          <w:szCs w:val="20"/>
        </w:rPr>
        <w:t xml:space="preserve">Ovaj strateški cilj je izuzetno važan za kreiranje svih aktivnosti </w:t>
      </w:r>
      <w:r w:rsidRPr="000C5CA4">
        <w:rPr>
          <w:sz w:val="22"/>
          <w:szCs w:val="20"/>
          <w:u w:color="92D050"/>
        </w:rPr>
        <w:t>kantona</w:t>
      </w:r>
      <w:r w:rsidRPr="000C5CA4">
        <w:rPr>
          <w:sz w:val="22"/>
          <w:szCs w:val="20"/>
        </w:rPr>
        <w:t xml:space="preserve"> jer prepoznaje ključne prioritete u oblasti ravnopravnosti spolova kao i ciljeve koji bi se trebali postići do kraja provođenja Gender akcionog plana BiH. Na taj način dat je prioritetni okvir djelovanja i </w:t>
      </w:r>
      <w:r w:rsidRPr="000C5CA4">
        <w:rPr>
          <w:sz w:val="22"/>
          <w:szCs w:val="20"/>
          <w:u w:color="92D050"/>
        </w:rPr>
        <w:t xml:space="preserve">kantona </w:t>
      </w:r>
      <w:r w:rsidRPr="000C5CA4">
        <w:rPr>
          <w:sz w:val="22"/>
          <w:szCs w:val="20"/>
        </w:rPr>
        <w:t xml:space="preserve">zajednica i ovih šest prioriteta bi trebao biti osnov svih programa mjera koje se donose na </w:t>
      </w:r>
      <w:r w:rsidRPr="000C5CA4">
        <w:rPr>
          <w:sz w:val="22"/>
          <w:szCs w:val="20"/>
          <w:u w:color="92D050"/>
        </w:rPr>
        <w:t>kantonalnom</w:t>
      </w:r>
      <w:r w:rsidRPr="000C5CA4">
        <w:rPr>
          <w:sz w:val="22"/>
          <w:szCs w:val="20"/>
        </w:rPr>
        <w:t xml:space="preserve"> nivou.</w:t>
      </w:r>
    </w:p>
    <w:p w14:paraId="2FDB8D30" w14:textId="77777777" w:rsidR="00711D91" w:rsidRPr="000C5CA4" w:rsidRDefault="00711D91" w:rsidP="00672AC4">
      <w:pPr>
        <w:spacing w:line="276" w:lineRule="auto"/>
        <w:rPr>
          <w:sz w:val="22"/>
          <w:szCs w:val="20"/>
        </w:rPr>
      </w:pPr>
    </w:p>
    <w:p w14:paraId="08443C18" w14:textId="77777777" w:rsidR="00FE4A3E" w:rsidRPr="000C5CA4" w:rsidRDefault="00FE4A3E" w:rsidP="00672AC4">
      <w:pPr>
        <w:pStyle w:val="BodyText"/>
        <w:rPr>
          <w:sz w:val="22"/>
          <w:szCs w:val="20"/>
        </w:rPr>
      </w:pPr>
      <w:r w:rsidRPr="000C5CA4">
        <w:rPr>
          <w:sz w:val="22"/>
          <w:szCs w:val="20"/>
        </w:rPr>
        <w:t>Pregled kantonalnih i lokalnih planova:</w:t>
      </w:r>
    </w:p>
    <w:p w14:paraId="09A97982" w14:textId="77777777" w:rsidR="002F4749" w:rsidRPr="000C5CA4" w:rsidRDefault="00711D91" w:rsidP="002F4749">
      <w:pPr>
        <w:pStyle w:val="ListParagraph"/>
        <w:numPr>
          <w:ilvl w:val="0"/>
          <w:numId w:val="18"/>
        </w:numPr>
        <w:spacing w:line="276" w:lineRule="auto"/>
        <w:rPr>
          <w:rFonts w:cs="Arial"/>
          <w:sz w:val="22"/>
        </w:rPr>
      </w:pPr>
      <w:r w:rsidRPr="000C5CA4">
        <w:rPr>
          <w:rStyle w:val="markedcontent"/>
          <w:rFonts w:cs="Arial"/>
          <w:sz w:val="22"/>
        </w:rPr>
        <w:t>Strategija razvoja Tuzlanskog kantona za period 2021. – 2027. godina, mart 2021. godine</w:t>
      </w:r>
      <w:r w:rsidR="002F4749" w:rsidRPr="000C5CA4">
        <w:rPr>
          <w:sz w:val="22"/>
          <w:szCs w:val="20"/>
        </w:rPr>
        <w:t xml:space="preserve"> </w:t>
      </w:r>
    </w:p>
    <w:p w14:paraId="7DF70AAF" w14:textId="0961D809" w:rsidR="002F4749" w:rsidRPr="000C5CA4" w:rsidRDefault="002F4749" w:rsidP="002F4749">
      <w:pPr>
        <w:pStyle w:val="ListParagraph"/>
        <w:numPr>
          <w:ilvl w:val="0"/>
          <w:numId w:val="18"/>
        </w:numPr>
        <w:spacing w:line="276" w:lineRule="auto"/>
        <w:rPr>
          <w:rFonts w:cs="Arial"/>
          <w:sz w:val="22"/>
        </w:rPr>
      </w:pPr>
      <w:r w:rsidRPr="000C5CA4">
        <w:rPr>
          <w:sz w:val="22"/>
          <w:szCs w:val="20"/>
        </w:rPr>
        <w:t>Lokalni gender akcioni plan Grada Gračanica 2022–2025, decembar 2021. godine</w:t>
      </w:r>
    </w:p>
    <w:p w14:paraId="08743704" w14:textId="77777777" w:rsidR="002F4749" w:rsidRPr="000C5CA4" w:rsidRDefault="002F4749" w:rsidP="002F4749">
      <w:pPr>
        <w:pStyle w:val="ListParagraph"/>
        <w:numPr>
          <w:ilvl w:val="0"/>
          <w:numId w:val="18"/>
        </w:numPr>
        <w:spacing w:line="276" w:lineRule="auto"/>
        <w:rPr>
          <w:rFonts w:cs="Arial"/>
          <w:sz w:val="22"/>
        </w:rPr>
      </w:pPr>
      <w:r w:rsidRPr="000C5CA4">
        <w:rPr>
          <w:sz w:val="22"/>
          <w:szCs w:val="20"/>
        </w:rPr>
        <w:t xml:space="preserve">Gender akcioni plan Grada Tuzle 2024–2027, januar 2024. godine </w:t>
      </w:r>
    </w:p>
    <w:p w14:paraId="4CCA8442" w14:textId="1B1825F0" w:rsidR="002F4749" w:rsidRPr="000C5CA4" w:rsidRDefault="002F4749" w:rsidP="002F4749">
      <w:pPr>
        <w:pStyle w:val="ListParagraph"/>
        <w:numPr>
          <w:ilvl w:val="0"/>
          <w:numId w:val="18"/>
        </w:numPr>
        <w:spacing w:line="276" w:lineRule="auto"/>
        <w:rPr>
          <w:rStyle w:val="markedcontent"/>
          <w:rFonts w:cs="Arial"/>
          <w:sz w:val="22"/>
        </w:rPr>
      </w:pPr>
      <w:r w:rsidRPr="000C5CA4">
        <w:rPr>
          <w:sz w:val="22"/>
          <w:szCs w:val="20"/>
        </w:rPr>
        <w:t>Gender akcioni plan Općine Kladanj od 2024. do 2027. godine, maj 2024. godine</w:t>
      </w:r>
    </w:p>
    <w:p w14:paraId="282926ED" w14:textId="0FE0C937" w:rsidR="00C01DC0" w:rsidRPr="000C5CA4" w:rsidRDefault="00C01DC0" w:rsidP="00D550E6">
      <w:pPr>
        <w:pStyle w:val="ListParagraph"/>
        <w:numPr>
          <w:ilvl w:val="0"/>
          <w:numId w:val="18"/>
        </w:numPr>
        <w:spacing w:line="276" w:lineRule="auto"/>
        <w:rPr>
          <w:rFonts w:cs="Arial"/>
          <w:sz w:val="22"/>
        </w:rPr>
      </w:pPr>
      <w:r w:rsidRPr="000C5CA4">
        <w:rPr>
          <w:sz w:val="22"/>
          <w:szCs w:val="20"/>
        </w:rPr>
        <w:t>Akcioni plan za prevenciju i borbu protiv nasilja u porodici TK 2024–2025</w:t>
      </w:r>
      <w:r w:rsidR="002F4749" w:rsidRPr="000C5CA4">
        <w:rPr>
          <w:sz w:val="22"/>
          <w:szCs w:val="20"/>
        </w:rPr>
        <w:t>, juni</w:t>
      </w:r>
      <w:r w:rsidRPr="000C5CA4">
        <w:rPr>
          <w:sz w:val="22"/>
          <w:szCs w:val="20"/>
        </w:rPr>
        <w:t xml:space="preserve"> 2024. godine</w:t>
      </w:r>
    </w:p>
    <w:p w14:paraId="2AB500BD" w14:textId="1A076444" w:rsidR="00C01DC0" w:rsidRPr="000C5CA4" w:rsidRDefault="00C01DC0" w:rsidP="00D550E6">
      <w:pPr>
        <w:pStyle w:val="ListParagraph"/>
        <w:numPr>
          <w:ilvl w:val="0"/>
          <w:numId w:val="18"/>
        </w:numPr>
        <w:spacing w:line="276" w:lineRule="auto"/>
        <w:rPr>
          <w:rFonts w:cs="Arial"/>
          <w:sz w:val="22"/>
        </w:rPr>
      </w:pPr>
      <w:r w:rsidRPr="000C5CA4">
        <w:rPr>
          <w:sz w:val="22"/>
          <w:szCs w:val="20"/>
        </w:rPr>
        <w:t>Rodna analiza zaposlenih na rukovodećim pozicijama u institucijama TK, novembar 2024. godine</w:t>
      </w:r>
    </w:p>
    <w:p w14:paraId="6F629FEC" w14:textId="77777777" w:rsidR="005B694D" w:rsidRPr="000C5CA4" w:rsidRDefault="005B694D" w:rsidP="005B694D">
      <w:pPr>
        <w:pStyle w:val="ListParagraph"/>
        <w:spacing w:line="276" w:lineRule="auto"/>
        <w:ind w:left="720" w:firstLine="0"/>
        <w:rPr>
          <w:rFonts w:cs="Arial"/>
          <w:sz w:val="22"/>
        </w:rPr>
      </w:pPr>
    </w:p>
    <w:p w14:paraId="103046A1" w14:textId="783137BD" w:rsidR="00ED28FE" w:rsidRPr="000C5CA4" w:rsidRDefault="00ED28FE" w:rsidP="00672AC4">
      <w:pPr>
        <w:pStyle w:val="BodyText"/>
        <w:rPr>
          <w:sz w:val="22"/>
          <w:szCs w:val="20"/>
        </w:rPr>
      </w:pPr>
      <w:r w:rsidRPr="000C5CA4">
        <w:rPr>
          <w:sz w:val="22"/>
          <w:szCs w:val="20"/>
        </w:rPr>
        <w:t xml:space="preserve">Gender akcioni planovi na nivou jedinica </w:t>
      </w:r>
      <w:r w:rsidRPr="000C5CA4">
        <w:rPr>
          <w:sz w:val="22"/>
          <w:szCs w:val="20"/>
          <w:u w:color="92D050"/>
        </w:rPr>
        <w:t>kantona</w:t>
      </w:r>
      <w:r w:rsidRPr="000C5CA4">
        <w:rPr>
          <w:sz w:val="22"/>
          <w:szCs w:val="20"/>
        </w:rPr>
        <w:t xml:space="preserve"> su najefikasniji način</w:t>
      </w:r>
      <w:r w:rsidR="009F29CA" w:rsidRPr="000C5CA4">
        <w:rPr>
          <w:sz w:val="22"/>
          <w:szCs w:val="20"/>
        </w:rPr>
        <w:t>i</w:t>
      </w:r>
      <w:r w:rsidRPr="000C5CA4">
        <w:rPr>
          <w:sz w:val="22"/>
          <w:szCs w:val="20"/>
        </w:rPr>
        <w:t xml:space="preserve"> provođenja ove obaveze. Ustav </w:t>
      </w:r>
      <w:r w:rsidR="00D421FF" w:rsidRPr="000C5CA4">
        <w:rPr>
          <w:sz w:val="22"/>
          <w:szCs w:val="20"/>
        </w:rPr>
        <w:t>TK</w:t>
      </w:r>
      <w:r w:rsidRPr="000C5CA4">
        <w:rPr>
          <w:sz w:val="22"/>
          <w:szCs w:val="20"/>
        </w:rPr>
        <w:t xml:space="preserve"> garantuje najviši stepen ljudskih prava i osnovnih sloboda preuzimajući standarde koji su sastavni dio Ustava FBiH. Zbog toga, Gender akcioni plan </w:t>
      </w:r>
      <w:r w:rsidR="00D421FF" w:rsidRPr="000C5CA4">
        <w:rPr>
          <w:sz w:val="22"/>
          <w:szCs w:val="20"/>
        </w:rPr>
        <w:t>TK</w:t>
      </w:r>
      <w:r w:rsidRPr="000C5CA4">
        <w:rPr>
          <w:sz w:val="22"/>
          <w:szCs w:val="20"/>
        </w:rPr>
        <w:t xml:space="preserve"> doprinosi ostvarivanju ljudskih prava i sloboda koji imaju snagu ustavnih odredbi </w:t>
      </w:r>
      <w:r w:rsidR="00D421FF" w:rsidRPr="000C5CA4">
        <w:rPr>
          <w:sz w:val="22"/>
          <w:szCs w:val="20"/>
        </w:rPr>
        <w:t>TK</w:t>
      </w:r>
      <w:r w:rsidRPr="000C5CA4">
        <w:rPr>
          <w:sz w:val="22"/>
          <w:szCs w:val="20"/>
        </w:rPr>
        <w:t>.</w:t>
      </w:r>
    </w:p>
    <w:p w14:paraId="0310A206" w14:textId="5C3A5760" w:rsidR="002F4749" w:rsidRPr="000C5CA4" w:rsidRDefault="002F4749" w:rsidP="00672AC4">
      <w:pPr>
        <w:pStyle w:val="BodyText"/>
        <w:rPr>
          <w:sz w:val="22"/>
          <w:szCs w:val="20"/>
        </w:rPr>
      </w:pPr>
    </w:p>
    <w:p w14:paraId="4536E08E" w14:textId="77777777" w:rsidR="006C2D6D" w:rsidRPr="000C5CA4" w:rsidRDefault="006C2D6D" w:rsidP="00672AC4">
      <w:pPr>
        <w:pStyle w:val="BodyText"/>
        <w:rPr>
          <w:sz w:val="22"/>
          <w:szCs w:val="20"/>
        </w:rPr>
      </w:pPr>
    </w:p>
    <w:p w14:paraId="1AC8691F" w14:textId="24462E47" w:rsidR="00ED28FE" w:rsidRPr="000C5CA4" w:rsidRDefault="00ED28FE" w:rsidP="00672AC4">
      <w:pPr>
        <w:pStyle w:val="Heading1"/>
        <w:rPr>
          <w:sz w:val="22"/>
          <w:szCs w:val="22"/>
        </w:rPr>
      </w:pPr>
      <w:bookmarkStart w:id="17" w:name="_Toc73392272"/>
      <w:bookmarkStart w:id="18" w:name="_Toc79420456"/>
      <w:bookmarkStart w:id="19" w:name="_Toc200303203"/>
      <w:r w:rsidRPr="000C5CA4">
        <w:rPr>
          <w:sz w:val="22"/>
          <w:szCs w:val="22"/>
        </w:rPr>
        <w:t xml:space="preserve">Stanje ravnopravnosti spolova u </w:t>
      </w:r>
      <w:r w:rsidR="005363DF" w:rsidRPr="000C5CA4">
        <w:rPr>
          <w:sz w:val="22"/>
          <w:szCs w:val="22"/>
        </w:rPr>
        <w:t>Tuzlanskom kantonu</w:t>
      </w:r>
      <w:bookmarkEnd w:id="17"/>
      <w:bookmarkEnd w:id="18"/>
      <w:bookmarkEnd w:id="19"/>
    </w:p>
    <w:p w14:paraId="119A37A1" w14:textId="77777777" w:rsidR="00FA43B1" w:rsidRPr="000C5CA4" w:rsidRDefault="00FA43B1" w:rsidP="00672AC4">
      <w:pPr>
        <w:pStyle w:val="Heading1"/>
        <w:numPr>
          <w:ilvl w:val="0"/>
          <w:numId w:val="0"/>
        </w:numPr>
        <w:ind w:left="761" w:hanging="720"/>
        <w:rPr>
          <w:sz w:val="22"/>
          <w:szCs w:val="22"/>
        </w:rPr>
      </w:pPr>
    </w:p>
    <w:p w14:paraId="157577E5" w14:textId="05A4475B" w:rsidR="00ED28FE" w:rsidRPr="000C5CA4" w:rsidRDefault="00ED28FE" w:rsidP="00672AC4">
      <w:pPr>
        <w:spacing w:line="276" w:lineRule="auto"/>
        <w:rPr>
          <w:sz w:val="22"/>
          <w:szCs w:val="20"/>
        </w:rPr>
      </w:pPr>
      <w:r w:rsidRPr="000C5CA4">
        <w:rPr>
          <w:sz w:val="22"/>
          <w:szCs w:val="20"/>
        </w:rPr>
        <w:t xml:space="preserve">Za potrebe analize stanja ravnopravnosti spolova u </w:t>
      </w:r>
      <w:r w:rsidR="00D421FF" w:rsidRPr="000C5CA4">
        <w:rPr>
          <w:sz w:val="22"/>
          <w:szCs w:val="20"/>
          <w:u w:color="92D050"/>
        </w:rPr>
        <w:t>TK</w:t>
      </w:r>
      <w:r w:rsidRPr="000C5CA4">
        <w:rPr>
          <w:sz w:val="22"/>
          <w:szCs w:val="20"/>
        </w:rPr>
        <w:t xml:space="preserve"> izvršeno je prikupljanje i analiza dostupnih informacija i podataka što predstavlja i prvi korak u smislu člana 24. Zakona o ravnopravnosti spolova u BiH. </w:t>
      </w:r>
    </w:p>
    <w:p w14:paraId="6D2E58B8" w14:textId="77777777" w:rsidR="00672AC4" w:rsidRPr="000C5CA4" w:rsidRDefault="00672AC4" w:rsidP="00672AC4">
      <w:pPr>
        <w:spacing w:line="276" w:lineRule="auto"/>
        <w:rPr>
          <w:sz w:val="22"/>
          <w:szCs w:val="20"/>
        </w:rPr>
      </w:pPr>
    </w:p>
    <w:p w14:paraId="5685576B" w14:textId="77777777" w:rsidR="00ED28FE" w:rsidRPr="000C5CA4" w:rsidRDefault="00ED28FE" w:rsidP="00672AC4">
      <w:pPr>
        <w:spacing w:line="276" w:lineRule="auto"/>
        <w:rPr>
          <w:sz w:val="22"/>
          <w:szCs w:val="20"/>
        </w:rPr>
      </w:pPr>
      <w:r w:rsidRPr="000C5CA4">
        <w:rPr>
          <w:sz w:val="22"/>
          <w:szCs w:val="20"/>
        </w:rPr>
        <w:t xml:space="preserve">Analiza stanja ravnopravnosti spolova je sagledana iz ugla ravnopravnosti spolova što omogućava utvrđivanje oblasti u kojima eventualno postoji diskriminacije ili nejednakosti u pristupu pravima, koristima i resursima između žena i muškaraca, djevojčica i dječaka po pojedinim oblastima. Pored toga ovaj pristup omogućuje da se istraže uzroci takvog stanja kao i </w:t>
      </w:r>
      <w:r w:rsidRPr="000C5CA4">
        <w:rPr>
          <w:sz w:val="22"/>
          <w:szCs w:val="20"/>
        </w:rPr>
        <w:lastRenderedPageBreak/>
        <w:t>da ukaže na to kako se oni mogu promijeniti, jer daje osnovu na kojoj će se temeljiti akcioni plan.</w:t>
      </w:r>
    </w:p>
    <w:p w14:paraId="54778BCC" w14:textId="6D3E4D3F" w:rsidR="00ED28FE" w:rsidRPr="000C5CA4" w:rsidRDefault="00ED28FE" w:rsidP="00672AC4">
      <w:pPr>
        <w:spacing w:line="276" w:lineRule="auto"/>
        <w:rPr>
          <w:sz w:val="22"/>
          <w:szCs w:val="20"/>
        </w:rPr>
      </w:pPr>
      <w:r w:rsidRPr="000C5CA4">
        <w:rPr>
          <w:sz w:val="22"/>
          <w:szCs w:val="20"/>
        </w:rPr>
        <w:t>Za potrebe ove analize prikupljeni su podaci:</w:t>
      </w:r>
    </w:p>
    <w:p w14:paraId="093AE87B" w14:textId="51DD096F" w:rsidR="00ED28FE" w:rsidRPr="000C5CA4" w:rsidRDefault="00ED28FE" w:rsidP="00D550E6">
      <w:pPr>
        <w:pStyle w:val="ListParagraph"/>
        <w:numPr>
          <w:ilvl w:val="0"/>
          <w:numId w:val="6"/>
        </w:numPr>
        <w:spacing w:line="276" w:lineRule="auto"/>
        <w:rPr>
          <w:sz w:val="22"/>
          <w:szCs w:val="20"/>
        </w:rPr>
      </w:pPr>
      <w:r w:rsidRPr="000C5CA4">
        <w:rPr>
          <w:sz w:val="22"/>
          <w:szCs w:val="20"/>
        </w:rPr>
        <w:t>statistički podaci Zavoda za statistiku,</w:t>
      </w:r>
    </w:p>
    <w:p w14:paraId="33F56238" w14:textId="1F4269AE" w:rsidR="00ED28FE" w:rsidRPr="000C5CA4" w:rsidRDefault="00ED28FE" w:rsidP="005B694D">
      <w:pPr>
        <w:pStyle w:val="ListParagraph"/>
        <w:numPr>
          <w:ilvl w:val="0"/>
          <w:numId w:val="6"/>
        </w:numPr>
        <w:spacing w:line="276" w:lineRule="auto"/>
        <w:rPr>
          <w:sz w:val="22"/>
          <w:szCs w:val="20"/>
        </w:rPr>
      </w:pPr>
      <w:r w:rsidRPr="000C5CA4">
        <w:rPr>
          <w:sz w:val="22"/>
          <w:szCs w:val="20"/>
        </w:rPr>
        <w:t>administrativni podaci od kantonalnih organa i službi,</w:t>
      </w:r>
    </w:p>
    <w:p w14:paraId="67C5C646" w14:textId="77777777" w:rsidR="00ED28FE" w:rsidRPr="000C5CA4" w:rsidRDefault="00ED28FE" w:rsidP="00D550E6">
      <w:pPr>
        <w:pStyle w:val="ListParagraph"/>
        <w:numPr>
          <w:ilvl w:val="0"/>
          <w:numId w:val="6"/>
        </w:numPr>
        <w:spacing w:line="276" w:lineRule="auto"/>
        <w:rPr>
          <w:sz w:val="22"/>
          <w:szCs w:val="20"/>
        </w:rPr>
      </w:pPr>
      <w:r w:rsidRPr="000C5CA4">
        <w:rPr>
          <w:sz w:val="22"/>
          <w:szCs w:val="20"/>
        </w:rPr>
        <w:t>urađena je analiza ključnih propisa i dokumenata kantona;</w:t>
      </w:r>
    </w:p>
    <w:p w14:paraId="295453A8" w14:textId="77777777" w:rsidR="00ED28FE" w:rsidRPr="000C5CA4" w:rsidRDefault="00ED28FE" w:rsidP="00D550E6">
      <w:pPr>
        <w:pStyle w:val="ListParagraph"/>
        <w:numPr>
          <w:ilvl w:val="0"/>
          <w:numId w:val="6"/>
        </w:numPr>
        <w:spacing w:line="276" w:lineRule="auto"/>
        <w:rPr>
          <w:sz w:val="22"/>
          <w:szCs w:val="20"/>
        </w:rPr>
      </w:pPr>
      <w:r w:rsidRPr="000C5CA4">
        <w:rPr>
          <w:sz w:val="22"/>
          <w:szCs w:val="20"/>
        </w:rPr>
        <w:t>korištene su druga istraživanja i studije te stručna mišljenja.</w:t>
      </w:r>
    </w:p>
    <w:p w14:paraId="231A20E9" w14:textId="77777777" w:rsidR="00ED28FE" w:rsidRPr="000C5CA4" w:rsidRDefault="00ED28FE" w:rsidP="00672AC4">
      <w:pPr>
        <w:pStyle w:val="ListParagraph"/>
        <w:spacing w:line="276" w:lineRule="auto"/>
        <w:rPr>
          <w:sz w:val="22"/>
          <w:szCs w:val="20"/>
        </w:rPr>
      </w:pPr>
    </w:p>
    <w:p w14:paraId="3C6D4C0F" w14:textId="77777777" w:rsidR="00ED28FE" w:rsidRPr="000C5CA4" w:rsidRDefault="00ED28FE" w:rsidP="00672AC4">
      <w:pPr>
        <w:pStyle w:val="BodyText"/>
        <w:rPr>
          <w:sz w:val="22"/>
          <w:szCs w:val="20"/>
        </w:rPr>
      </w:pPr>
      <w:r w:rsidRPr="000C5CA4">
        <w:rPr>
          <w:sz w:val="22"/>
          <w:szCs w:val="20"/>
        </w:rPr>
        <w:t>Ovaj pristup je omogućio:</w:t>
      </w:r>
    </w:p>
    <w:p w14:paraId="480BA4E1" w14:textId="77777777" w:rsidR="00ED28FE" w:rsidRPr="000C5CA4" w:rsidRDefault="00ED28FE" w:rsidP="00D550E6">
      <w:pPr>
        <w:pStyle w:val="BodyText"/>
        <w:numPr>
          <w:ilvl w:val="0"/>
          <w:numId w:val="4"/>
        </w:numPr>
        <w:rPr>
          <w:sz w:val="22"/>
          <w:szCs w:val="20"/>
        </w:rPr>
      </w:pPr>
      <w:r w:rsidRPr="000C5CA4">
        <w:rPr>
          <w:sz w:val="22"/>
          <w:szCs w:val="20"/>
        </w:rPr>
        <w:t xml:space="preserve">da ukaže na prioritete i ključne ciljeve koje je potrebno ostvariti i </w:t>
      </w:r>
    </w:p>
    <w:p w14:paraId="01C125E2" w14:textId="77777777" w:rsidR="00ED28FE" w:rsidRPr="000C5CA4" w:rsidRDefault="00ED28FE" w:rsidP="00D550E6">
      <w:pPr>
        <w:pStyle w:val="BodyText"/>
        <w:numPr>
          <w:ilvl w:val="0"/>
          <w:numId w:val="4"/>
        </w:numPr>
        <w:rPr>
          <w:sz w:val="22"/>
          <w:szCs w:val="20"/>
        </w:rPr>
      </w:pPr>
      <w:r w:rsidRPr="000C5CA4">
        <w:rPr>
          <w:sz w:val="22"/>
          <w:szCs w:val="20"/>
        </w:rPr>
        <w:t xml:space="preserve">da omogući utvrđivanje trenutnog stanja (ne)ravnopravnosti spolova kao i da utvrdi način na koji će se promjene mjeriti. </w:t>
      </w:r>
    </w:p>
    <w:p w14:paraId="69D6EFEB" w14:textId="77777777" w:rsidR="00ED28FE" w:rsidRPr="000C5CA4" w:rsidRDefault="00ED28FE" w:rsidP="00672AC4">
      <w:pPr>
        <w:pStyle w:val="BodyText"/>
        <w:rPr>
          <w:sz w:val="22"/>
          <w:szCs w:val="20"/>
        </w:rPr>
      </w:pPr>
    </w:p>
    <w:p w14:paraId="75BEF9A4" w14:textId="0E80B021" w:rsidR="00ED28FE" w:rsidRPr="000C5CA4" w:rsidRDefault="00ED28FE" w:rsidP="00672AC4">
      <w:pPr>
        <w:pStyle w:val="BodyText"/>
        <w:rPr>
          <w:sz w:val="22"/>
          <w:szCs w:val="20"/>
        </w:rPr>
      </w:pPr>
      <w:r w:rsidRPr="000C5CA4">
        <w:rPr>
          <w:sz w:val="22"/>
          <w:szCs w:val="20"/>
        </w:rPr>
        <w:t xml:space="preserve">Za potrebu izrade ovog Gender akcionog plana prikupljeni su dostupni podaci koji su razvrstani po spolu. U tu svrhu prikupljeni su statistički podaci koji su dostavljeni od strane Federalnog zavoda za statistiku, Centralne izborne komisije BiH te su korišteni i administrativni podaci kojima raspolažu ministarstava i službe </w:t>
      </w:r>
      <w:r w:rsidR="00D421FF" w:rsidRPr="000C5CA4">
        <w:rPr>
          <w:sz w:val="22"/>
          <w:szCs w:val="20"/>
        </w:rPr>
        <w:t>TK</w:t>
      </w:r>
      <w:r w:rsidRPr="000C5CA4">
        <w:rPr>
          <w:sz w:val="22"/>
          <w:szCs w:val="20"/>
        </w:rPr>
        <w:t xml:space="preserve">. Pored toga izvršena je analiza javno dostupnih podataka o stanju ravnopravnosti spolova u </w:t>
      </w:r>
      <w:r w:rsidR="00D421FF" w:rsidRPr="000C5CA4">
        <w:rPr>
          <w:sz w:val="22"/>
          <w:szCs w:val="20"/>
        </w:rPr>
        <w:t>TK</w:t>
      </w:r>
      <w:r w:rsidRPr="000C5CA4">
        <w:rPr>
          <w:sz w:val="22"/>
          <w:szCs w:val="20"/>
          <w:u w:color="92D050"/>
        </w:rPr>
        <w:t xml:space="preserve">. </w:t>
      </w:r>
      <w:r w:rsidRPr="000C5CA4">
        <w:rPr>
          <w:sz w:val="22"/>
          <w:szCs w:val="20"/>
        </w:rPr>
        <w:t xml:space="preserve">Svi podaci su analizirani iz ugla ravnopravnosti spolova te su interpretirani u odnosu na trendove (ne)ravnopravnosti spolova u Bosni i Hercegovini. </w:t>
      </w:r>
    </w:p>
    <w:p w14:paraId="3A7BEF4E" w14:textId="77777777" w:rsidR="00ED28FE" w:rsidRPr="000C5CA4" w:rsidRDefault="00ED28FE" w:rsidP="00672AC4">
      <w:pPr>
        <w:pStyle w:val="BodyText"/>
        <w:rPr>
          <w:sz w:val="22"/>
          <w:szCs w:val="20"/>
        </w:rPr>
      </w:pPr>
    </w:p>
    <w:p w14:paraId="3F985E60" w14:textId="77777777" w:rsidR="00ED28FE" w:rsidRPr="000C5CA4" w:rsidRDefault="00ED28FE" w:rsidP="00672AC4">
      <w:pPr>
        <w:pStyle w:val="BodyText"/>
        <w:rPr>
          <w:sz w:val="22"/>
          <w:szCs w:val="20"/>
        </w:rPr>
      </w:pPr>
      <w:r w:rsidRPr="000C5CA4">
        <w:rPr>
          <w:sz w:val="22"/>
          <w:szCs w:val="20"/>
        </w:rPr>
        <w:t>Oblasti za utvrđivanje stanje ravnopravnosti spolova su bazirani na prioritetima koji su prepoznati u Gender akcionom planu Bosne i Hercegovini i to</w:t>
      </w:r>
    </w:p>
    <w:p w14:paraId="536956F3" w14:textId="77777777" w:rsidR="00ED28FE" w:rsidRPr="000C5CA4" w:rsidRDefault="00ED28FE" w:rsidP="00D550E6">
      <w:pPr>
        <w:pStyle w:val="BodyText"/>
        <w:numPr>
          <w:ilvl w:val="0"/>
          <w:numId w:val="5"/>
        </w:numPr>
        <w:rPr>
          <w:sz w:val="22"/>
          <w:szCs w:val="20"/>
        </w:rPr>
      </w:pPr>
      <w:r w:rsidRPr="000C5CA4">
        <w:rPr>
          <w:sz w:val="22"/>
          <w:szCs w:val="20"/>
        </w:rPr>
        <w:t>Postojanje institucionalnih mehanizama za ravnopravnost spolova</w:t>
      </w:r>
    </w:p>
    <w:p w14:paraId="0B398C76" w14:textId="77777777" w:rsidR="00ED28FE" w:rsidRPr="000C5CA4" w:rsidRDefault="00ED28FE" w:rsidP="00D550E6">
      <w:pPr>
        <w:pStyle w:val="BodyText"/>
        <w:numPr>
          <w:ilvl w:val="0"/>
          <w:numId w:val="5"/>
        </w:numPr>
        <w:rPr>
          <w:sz w:val="22"/>
          <w:szCs w:val="20"/>
        </w:rPr>
      </w:pPr>
      <w:r w:rsidRPr="000C5CA4">
        <w:rPr>
          <w:sz w:val="22"/>
          <w:szCs w:val="20"/>
        </w:rPr>
        <w:t>Rad, zapošljavanje i pristup ekonomskim resursima</w:t>
      </w:r>
    </w:p>
    <w:p w14:paraId="39CE38B9" w14:textId="77777777" w:rsidR="00ED28FE" w:rsidRPr="000C5CA4" w:rsidRDefault="00ED28FE" w:rsidP="00D550E6">
      <w:pPr>
        <w:pStyle w:val="BodyText"/>
        <w:numPr>
          <w:ilvl w:val="0"/>
          <w:numId w:val="5"/>
        </w:numPr>
        <w:rPr>
          <w:sz w:val="22"/>
          <w:szCs w:val="20"/>
        </w:rPr>
      </w:pPr>
      <w:r w:rsidRPr="000C5CA4">
        <w:rPr>
          <w:sz w:val="22"/>
          <w:szCs w:val="20"/>
        </w:rPr>
        <w:t>Obrazovanje, nauka, kultura i sport</w:t>
      </w:r>
    </w:p>
    <w:p w14:paraId="3762F157" w14:textId="77777777" w:rsidR="00ED28FE" w:rsidRPr="000C5CA4" w:rsidRDefault="00ED28FE" w:rsidP="00D550E6">
      <w:pPr>
        <w:pStyle w:val="BodyText"/>
        <w:numPr>
          <w:ilvl w:val="0"/>
          <w:numId w:val="5"/>
        </w:numPr>
        <w:rPr>
          <w:sz w:val="22"/>
          <w:szCs w:val="20"/>
        </w:rPr>
      </w:pPr>
      <w:r w:rsidRPr="000C5CA4">
        <w:rPr>
          <w:sz w:val="22"/>
          <w:szCs w:val="20"/>
        </w:rPr>
        <w:t>Socijalna zaštita i zdravlje</w:t>
      </w:r>
    </w:p>
    <w:p w14:paraId="69D1722A" w14:textId="77777777" w:rsidR="00ED28FE" w:rsidRPr="000C5CA4" w:rsidRDefault="00ED28FE" w:rsidP="00D550E6">
      <w:pPr>
        <w:pStyle w:val="BodyText"/>
        <w:numPr>
          <w:ilvl w:val="0"/>
          <w:numId w:val="5"/>
        </w:numPr>
        <w:rPr>
          <w:sz w:val="22"/>
          <w:szCs w:val="20"/>
        </w:rPr>
      </w:pPr>
      <w:r w:rsidRPr="000C5CA4">
        <w:rPr>
          <w:sz w:val="22"/>
          <w:szCs w:val="20"/>
        </w:rPr>
        <w:t>Sprečavanje i suzbijanje nasilja na osnovu spola, uključujući nasilje u porodici kao i trgovinu ljudima</w:t>
      </w:r>
    </w:p>
    <w:p w14:paraId="2315B41D" w14:textId="7D735B21" w:rsidR="00ED28FE" w:rsidRPr="000C5CA4" w:rsidRDefault="00ED28FE" w:rsidP="00D550E6">
      <w:pPr>
        <w:pStyle w:val="BodyText"/>
        <w:numPr>
          <w:ilvl w:val="0"/>
          <w:numId w:val="5"/>
        </w:numPr>
        <w:rPr>
          <w:sz w:val="22"/>
          <w:szCs w:val="20"/>
        </w:rPr>
      </w:pPr>
      <w:r w:rsidRPr="000C5CA4">
        <w:rPr>
          <w:sz w:val="22"/>
          <w:szCs w:val="20"/>
        </w:rPr>
        <w:t>Javni život i donošenje odluka</w:t>
      </w:r>
    </w:p>
    <w:p w14:paraId="4D7BFC05" w14:textId="07210D49" w:rsidR="005B694D" w:rsidRPr="000C5CA4" w:rsidRDefault="005B694D" w:rsidP="00D550E6">
      <w:pPr>
        <w:pStyle w:val="BodyText"/>
        <w:numPr>
          <w:ilvl w:val="0"/>
          <w:numId w:val="5"/>
        </w:numPr>
        <w:rPr>
          <w:sz w:val="22"/>
          <w:szCs w:val="20"/>
        </w:rPr>
      </w:pPr>
      <w:r w:rsidRPr="000C5CA4">
        <w:rPr>
          <w:sz w:val="22"/>
          <w:szCs w:val="20"/>
        </w:rPr>
        <w:t>Ravnopravnost spolova u kontekstu zaštite okoliša i klimatskih promjena</w:t>
      </w:r>
    </w:p>
    <w:p w14:paraId="32D65D6D" w14:textId="5BAD832D" w:rsidR="005363DF" w:rsidRPr="000C5CA4" w:rsidRDefault="005363DF" w:rsidP="00672AC4">
      <w:pPr>
        <w:pStyle w:val="BodyText"/>
        <w:rPr>
          <w:sz w:val="22"/>
          <w:szCs w:val="20"/>
        </w:rPr>
      </w:pPr>
    </w:p>
    <w:p w14:paraId="58EEB27D" w14:textId="12C4DCEE" w:rsidR="00ED28FE" w:rsidRPr="000C5CA4" w:rsidRDefault="00ED28FE" w:rsidP="00672AC4">
      <w:pPr>
        <w:pStyle w:val="Heading2"/>
        <w:spacing w:line="276" w:lineRule="auto"/>
        <w:rPr>
          <w:sz w:val="22"/>
          <w:szCs w:val="22"/>
        </w:rPr>
      </w:pPr>
      <w:bookmarkStart w:id="20" w:name="_Toc73392273"/>
      <w:bookmarkStart w:id="21" w:name="_Toc74118437"/>
      <w:bookmarkStart w:id="22" w:name="_Toc79420457"/>
      <w:bookmarkStart w:id="23" w:name="_Toc200303204"/>
      <w:r w:rsidRPr="000C5CA4">
        <w:rPr>
          <w:sz w:val="22"/>
          <w:szCs w:val="22"/>
        </w:rPr>
        <w:t>Osnovni demografski podaci razvrstani po spolu</w:t>
      </w:r>
      <w:bookmarkEnd w:id="20"/>
      <w:bookmarkEnd w:id="21"/>
      <w:bookmarkEnd w:id="22"/>
      <w:bookmarkEnd w:id="23"/>
    </w:p>
    <w:p w14:paraId="27B931C4" w14:textId="3C88BAC8" w:rsidR="005363DF" w:rsidRPr="000C5CA4" w:rsidRDefault="00D421FF" w:rsidP="00672AC4">
      <w:pPr>
        <w:pStyle w:val="NormalWeb"/>
        <w:spacing w:line="276" w:lineRule="auto"/>
        <w:rPr>
          <w:rFonts w:asciiTheme="majorHAnsi" w:hAnsiTheme="majorHAnsi"/>
          <w:color w:val="auto"/>
          <w:sz w:val="22"/>
          <w:szCs w:val="22"/>
          <w:lang w:val="bs-Latn-BA"/>
        </w:rPr>
      </w:pPr>
      <w:r w:rsidRPr="000C5CA4">
        <w:rPr>
          <w:rFonts w:asciiTheme="majorHAnsi" w:hAnsiTheme="majorHAnsi" w:cs="Arial"/>
          <w:color w:val="auto"/>
          <w:sz w:val="22"/>
          <w:szCs w:val="22"/>
          <w:lang w:val="bs-Latn-BA"/>
        </w:rPr>
        <w:t>Tuzlan</w:t>
      </w:r>
      <w:r w:rsidR="005363DF" w:rsidRPr="000C5CA4">
        <w:rPr>
          <w:rFonts w:asciiTheme="majorHAnsi" w:hAnsiTheme="majorHAnsi" w:cs="Arial"/>
          <w:color w:val="auto"/>
          <w:sz w:val="22"/>
          <w:szCs w:val="22"/>
          <w:lang w:val="bs-Latn-BA"/>
        </w:rPr>
        <w:t>ski kanton</w:t>
      </w:r>
      <w:r w:rsidR="00ED28FE" w:rsidRPr="000C5CA4">
        <w:rPr>
          <w:rFonts w:asciiTheme="majorHAnsi" w:hAnsiTheme="majorHAnsi" w:cs="Arial"/>
          <w:color w:val="auto"/>
          <w:sz w:val="22"/>
          <w:szCs w:val="22"/>
          <w:lang w:val="bs-Latn-BA"/>
        </w:rPr>
        <w:t xml:space="preserve">, kanton broj </w:t>
      </w:r>
      <w:r w:rsidR="005363DF" w:rsidRPr="000C5CA4">
        <w:rPr>
          <w:rFonts w:asciiTheme="majorHAnsi" w:hAnsiTheme="majorHAnsi" w:cs="Arial"/>
          <w:color w:val="auto"/>
          <w:sz w:val="22"/>
          <w:szCs w:val="22"/>
          <w:lang w:val="bs-Latn-BA"/>
        </w:rPr>
        <w:t>3</w:t>
      </w:r>
      <w:r w:rsidR="00BB343A" w:rsidRPr="000C5CA4">
        <w:rPr>
          <w:rFonts w:asciiTheme="majorHAnsi" w:hAnsiTheme="majorHAnsi" w:cs="Arial"/>
          <w:color w:val="auto"/>
          <w:sz w:val="22"/>
          <w:szCs w:val="22"/>
          <w:lang w:val="bs-Latn-BA"/>
        </w:rPr>
        <w:t xml:space="preserve"> je</w:t>
      </w:r>
      <w:r w:rsidR="00FB0915" w:rsidRPr="000C5CA4">
        <w:rPr>
          <w:rFonts w:asciiTheme="majorHAnsi" w:hAnsiTheme="majorHAnsi" w:cs="Arial"/>
          <w:color w:val="auto"/>
          <w:sz w:val="22"/>
          <w:szCs w:val="22"/>
          <w:lang w:val="bs-Latn-BA"/>
        </w:rPr>
        <w:t xml:space="preserve"> smje</w:t>
      </w:r>
      <w:r w:rsidR="00EA4BBF" w:rsidRPr="000C5CA4">
        <w:rPr>
          <w:rFonts w:asciiTheme="majorHAnsi" w:hAnsiTheme="majorHAnsi" w:cs="Arial"/>
          <w:color w:val="auto"/>
          <w:sz w:val="22"/>
          <w:szCs w:val="22"/>
          <w:lang w:val="bs-Latn-BA"/>
        </w:rPr>
        <w:t xml:space="preserve">šten u </w:t>
      </w:r>
      <w:r w:rsidR="00EA4BBF" w:rsidRPr="000C5CA4">
        <w:rPr>
          <w:rFonts w:asciiTheme="majorHAnsi" w:hAnsiTheme="majorHAnsi"/>
          <w:color w:val="auto"/>
          <w:sz w:val="22"/>
          <w:szCs w:val="22"/>
          <w:lang w:val="bs-Latn-BA"/>
        </w:rPr>
        <w:t>sjeveroistočnom dijelu Bosne i Hercegovine</w:t>
      </w:r>
      <w:r w:rsidR="00BB343A" w:rsidRPr="000C5CA4">
        <w:rPr>
          <w:rFonts w:asciiTheme="majorHAnsi" w:hAnsiTheme="majorHAnsi" w:cs="Arial"/>
          <w:color w:val="auto"/>
          <w:sz w:val="22"/>
          <w:szCs w:val="22"/>
          <w:lang w:val="bs-Latn-BA"/>
        </w:rPr>
        <w:t xml:space="preserve"> i</w:t>
      </w:r>
      <w:r w:rsidR="00061952" w:rsidRPr="000C5CA4">
        <w:rPr>
          <w:rFonts w:asciiTheme="majorHAnsi" w:hAnsiTheme="majorHAnsi"/>
          <w:color w:val="auto"/>
          <w:sz w:val="22"/>
          <w:szCs w:val="22"/>
          <w:lang w:val="bs-Latn-BA"/>
        </w:rPr>
        <w:t xml:space="preserve"> zauzima površinu od 2.6</w:t>
      </w:r>
      <w:r w:rsidR="00BB343A" w:rsidRPr="000C5CA4">
        <w:rPr>
          <w:rFonts w:asciiTheme="majorHAnsi" w:hAnsiTheme="majorHAnsi"/>
          <w:color w:val="auto"/>
          <w:sz w:val="22"/>
          <w:szCs w:val="22"/>
          <w:lang w:val="bs-Latn-BA"/>
        </w:rPr>
        <w:t>49</w:t>
      </w:r>
      <w:r w:rsidR="00061952" w:rsidRPr="000C5CA4">
        <w:rPr>
          <w:rFonts w:asciiTheme="majorHAnsi" w:hAnsiTheme="majorHAnsi"/>
          <w:color w:val="auto"/>
          <w:sz w:val="22"/>
          <w:szCs w:val="22"/>
          <w:lang w:val="bs-Latn-BA"/>
        </w:rPr>
        <w:t xml:space="preserve"> km</w:t>
      </w:r>
      <w:r w:rsidR="00061952" w:rsidRPr="000C5CA4">
        <w:rPr>
          <w:rFonts w:asciiTheme="majorHAnsi" w:hAnsiTheme="majorHAnsi"/>
          <w:color w:val="auto"/>
          <w:sz w:val="22"/>
          <w:szCs w:val="22"/>
          <w:vertAlign w:val="superscript"/>
          <w:lang w:val="bs-Latn-BA"/>
        </w:rPr>
        <w:t>2</w:t>
      </w:r>
      <w:r w:rsidR="00061952" w:rsidRPr="000C5CA4">
        <w:rPr>
          <w:rFonts w:asciiTheme="majorHAnsi" w:hAnsiTheme="majorHAnsi"/>
          <w:color w:val="auto"/>
          <w:sz w:val="22"/>
          <w:szCs w:val="22"/>
          <w:lang w:val="bs-Latn-BA"/>
        </w:rPr>
        <w:t xml:space="preserve">, odnosno 10,17% teritorije FBiH ili 5,18% teritorije Bosne i Hercegovine. </w:t>
      </w:r>
      <w:r w:rsidR="005363DF" w:rsidRPr="000C5CA4">
        <w:rPr>
          <w:rFonts w:asciiTheme="majorHAnsi" w:hAnsiTheme="majorHAnsi"/>
          <w:color w:val="auto"/>
          <w:sz w:val="22"/>
          <w:szCs w:val="22"/>
          <w:lang w:val="pl-PL"/>
        </w:rPr>
        <w:t xml:space="preserve">Do 1999. godine Tuzlanski kanton je nosio ime </w:t>
      </w:r>
      <w:r w:rsidR="005363DF" w:rsidRPr="000C5CA4">
        <w:rPr>
          <w:rFonts w:asciiTheme="majorHAnsi" w:hAnsiTheme="majorHAnsi"/>
          <w:bCs/>
          <w:color w:val="auto"/>
          <w:sz w:val="22"/>
          <w:szCs w:val="22"/>
          <w:lang w:val="pl-PL"/>
        </w:rPr>
        <w:t>Tuzlansko-podrinjski kanton</w:t>
      </w:r>
      <w:r w:rsidR="005363DF" w:rsidRPr="000C5CA4">
        <w:rPr>
          <w:rFonts w:asciiTheme="majorHAnsi" w:hAnsiTheme="majorHAnsi"/>
          <w:color w:val="auto"/>
          <w:sz w:val="22"/>
          <w:szCs w:val="22"/>
          <w:lang w:val="pl-PL"/>
        </w:rPr>
        <w:t xml:space="preserve">. </w:t>
      </w:r>
      <w:r w:rsidR="00F214E2" w:rsidRPr="000C5CA4">
        <w:rPr>
          <w:rFonts w:asciiTheme="majorHAnsi" w:hAnsiTheme="majorHAnsi"/>
          <w:color w:val="auto"/>
          <w:sz w:val="22"/>
          <w:szCs w:val="22"/>
          <w:lang w:val="bs-Latn-BA"/>
        </w:rPr>
        <w:t>Područje Tuzlanskog kantona uključuje trinaest lokalnih zajednica, odnosno općina/gradova i to: Banovići, Čelić, Doboj-Istok, Gračanica, Gradačac, Kalesija, Kladanj, Lukavac, Sapna, Srebrenik, Tuzla, Teočak i Živinice. Sjedište kantona je Tuzla, koji je kulturni, univerzitetski i medicinsko-klinički centar ove regije, prema kojoj gravitiraju ostala općinska područja.</w:t>
      </w:r>
    </w:p>
    <w:p w14:paraId="1E754E73" w14:textId="77777777" w:rsidR="00253CE3" w:rsidRPr="000C5CA4" w:rsidRDefault="00253CE3" w:rsidP="00253CE3">
      <w:pPr>
        <w:pStyle w:val="BodyText"/>
        <w:rPr>
          <w:sz w:val="22"/>
        </w:rPr>
      </w:pPr>
      <w:r w:rsidRPr="000C5CA4">
        <w:rPr>
          <w:sz w:val="22"/>
        </w:rPr>
        <w:t xml:space="preserve">Tuzlanski kanton je najmnogoljudniji od deset kantona Federacije Bosne i Hercegovine. Prema podacima Zavoda za statistiku na području kantona živi </w:t>
      </w:r>
      <w:r w:rsidRPr="000C5CA4">
        <w:rPr>
          <w:rStyle w:val="markedcontent"/>
          <w:rFonts w:cs="Arial"/>
          <w:sz w:val="22"/>
        </w:rPr>
        <w:t>430571</w:t>
      </w:r>
      <w:r w:rsidRPr="000C5CA4">
        <w:rPr>
          <w:sz w:val="22"/>
        </w:rPr>
        <w:t xml:space="preserve"> osoba od čega </w:t>
      </w:r>
      <w:r w:rsidRPr="000C5CA4">
        <w:rPr>
          <w:rStyle w:val="markedcontent"/>
          <w:rFonts w:cs="Arial"/>
          <w:sz w:val="22"/>
        </w:rPr>
        <w:t>210259</w:t>
      </w:r>
      <w:r w:rsidRPr="000C5CA4">
        <w:rPr>
          <w:sz w:val="22"/>
        </w:rPr>
        <w:t xml:space="preserve"> osoba muškog spola i 220312 osoba ženskog spola.</w:t>
      </w:r>
      <w:r w:rsidRPr="000C5CA4">
        <w:rPr>
          <w:rStyle w:val="FootnoteReference"/>
          <w:sz w:val="22"/>
        </w:rPr>
        <w:footnoteReference w:id="6"/>
      </w:r>
      <w:r w:rsidRPr="000C5CA4">
        <w:rPr>
          <w:sz w:val="22"/>
        </w:rPr>
        <w:t xml:space="preserve"> Na području kantona živi 2,98% više osoba ženskog spola što je za 0,66% više u odnosu na 2021. godinu.</w:t>
      </w:r>
    </w:p>
    <w:p w14:paraId="154F446F" w14:textId="2C538A61" w:rsidR="00253CE3" w:rsidRPr="000C5CA4" w:rsidRDefault="00253CE3" w:rsidP="00253CE3">
      <w:pPr>
        <w:pStyle w:val="BodyText"/>
        <w:jc w:val="center"/>
        <w:rPr>
          <w:rFonts w:cs="Arial"/>
          <w:sz w:val="22"/>
        </w:rPr>
      </w:pPr>
      <w:r w:rsidRPr="000C5CA4">
        <w:rPr>
          <w:noProof/>
          <w:sz w:val="22"/>
          <w:szCs w:val="20"/>
          <w:lang w:eastAsia="bs-Latn-BA"/>
        </w:rPr>
        <w:lastRenderedPageBreak/>
        <w:drawing>
          <wp:inline distT="0" distB="0" distL="0" distR="0" wp14:anchorId="4563EE36" wp14:editId="0ADB6838">
            <wp:extent cx="3467100" cy="1996440"/>
            <wp:effectExtent l="0" t="0" r="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BF06755" w14:textId="70B8F547" w:rsidR="00B66728" w:rsidRPr="000C5CA4" w:rsidRDefault="00B66728" w:rsidP="00253CE3">
      <w:pPr>
        <w:pStyle w:val="BodyText"/>
        <w:jc w:val="center"/>
        <w:rPr>
          <w:rFonts w:cs="Arial"/>
          <w:sz w:val="22"/>
        </w:rPr>
      </w:pPr>
    </w:p>
    <w:p w14:paraId="02A696FD" w14:textId="375ED986" w:rsidR="00B66728" w:rsidRPr="000C5CA4" w:rsidRDefault="00B66728" w:rsidP="00B66728">
      <w:pPr>
        <w:pStyle w:val="BodyText"/>
        <w:rPr>
          <w:rFonts w:cs="Arial"/>
          <w:sz w:val="22"/>
        </w:rPr>
      </w:pPr>
      <w:r w:rsidRPr="000C5CA4">
        <w:rPr>
          <w:rFonts w:cs="Arial"/>
          <w:sz w:val="22"/>
        </w:rPr>
        <w:t>U odnosu na popis stanovništva iz 2013. godine, na području Tuzlanskog kantona je u 2023. godini bilo 14457 (3%) manje stanovnika (7129 manje osoba muškog spola i 4538 manje osoba ženskog spola) što odgovara smanjenju broja stanovnika u Federaciji BiH u istom periodu.</w:t>
      </w:r>
      <w:r w:rsidR="00633C8A" w:rsidRPr="000C5CA4">
        <w:rPr>
          <w:rStyle w:val="FootnoteReference"/>
          <w:rFonts w:cs="Arial"/>
          <w:sz w:val="22"/>
        </w:rPr>
        <w:footnoteReference w:id="7"/>
      </w:r>
    </w:p>
    <w:p w14:paraId="1D0101B6" w14:textId="77777777" w:rsidR="00253CE3" w:rsidRPr="000C5CA4" w:rsidRDefault="00253CE3" w:rsidP="00253CE3">
      <w:pPr>
        <w:pStyle w:val="BodyText"/>
        <w:jc w:val="center"/>
        <w:rPr>
          <w:rFonts w:cs="Arial"/>
          <w:sz w:val="22"/>
        </w:rPr>
      </w:pPr>
      <w:r w:rsidRPr="000C5CA4">
        <w:rPr>
          <w:noProof/>
          <w:sz w:val="22"/>
          <w:szCs w:val="20"/>
          <w:lang w:eastAsia="bs-Latn-BA"/>
        </w:rPr>
        <w:drawing>
          <wp:inline distT="0" distB="0" distL="0" distR="0" wp14:anchorId="5FA39396" wp14:editId="431B5BAC">
            <wp:extent cx="4572000" cy="210312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AAB5D1D" w14:textId="77777777" w:rsidR="00253CE3" w:rsidRPr="000C5CA4" w:rsidRDefault="00253CE3" w:rsidP="00253CE3">
      <w:pPr>
        <w:spacing w:line="276" w:lineRule="auto"/>
        <w:jc w:val="center"/>
        <w:rPr>
          <w:sz w:val="22"/>
          <w:szCs w:val="20"/>
        </w:rPr>
      </w:pPr>
      <w:r w:rsidRPr="000C5CA4">
        <w:rPr>
          <w:sz w:val="22"/>
          <w:szCs w:val="20"/>
        </w:rPr>
        <w:t>Izvor: Federalni zavod za statistiku, Tuzlanski kanton u brojkama, 2024.</w:t>
      </w:r>
    </w:p>
    <w:p w14:paraId="2B1FEBA4" w14:textId="77777777" w:rsidR="00253CE3" w:rsidRPr="000C5CA4" w:rsidRDefault="00253CE3" w:rsidP="00253CE3">
      <w:pPr>
        <w:pStyle w:val="BodyText"/>
        <w:rPr>
          <w:sz w:val="22"/>
          <w:szCs w:val="20"/>
        </w:rPr>
      </w:pPr>
    </w:p>
    <w:p w14:paraId="029FBEB6" w14:textId="77777777" w:rsidR="00253CE3" w:rsidRPr="000C5CA4" w:rsidRDefault="00253CE3" w:rsidP="00253CE3">
      <w:pPr>
        <w:pStyle w:val="BodyText"/>
        <w:rPr>
          <w:sz w:val="22"/>
          <w:szCs w:val="20"/>
        </w:rPr>
      </w:pPr>
      <w:r w:rsidRPr="000C5CA4">
        <w:rPr>
          <w:sz w:val="22"/>
          <w:szCs w:val="20"/>
        </w:rPr>
        <w:t xml:space="preserve">Analizom podataka po starosnim grupama vidljivo je da je i dalje najveći jaz u starosnoj grupi od 65 godina i više (13,3% više osoba ženskog spola), a najmanji u starosnoj grupi od 15 do 64 godina (0,4% više osoba ženskog spola). U starosnoj skupini od 0 do 14 godina za 0,8% je više dječaka nego djevojčica. U odnosu na analizu iz 2021. godine, odnos stanovnika pema spolu u starosnim skupinama nije se u mnogome promijenila. </w:t>
      </w:r>
    </w:p>
    <w:p w14:paraId="3589C867" w14:textId="77777777" w:rsidR="00ED28FE" w:rsidRPr="000C5CA4" w:rsidRDefault="00ED28FE" w:rsidP="00253CE3">
      <w:pPr>
        <w:spacing w:line="276" w:lineRule="auto"/>
        <w:rPr>
          <w:sz w:val="22"/>
          <w:szCs w:val="20"/>
        </w:rPr>
      </w:pPr>
    </w:p>
    <w:p w14:paraId="20B026A9" w14:textId="3BD033F3" w:rsidR="00ED28FE" w:rsidRPr="000C5CA4" w:rsidRDefault="00ED28FE" w:rsidP="00672AC4">
      <w:pPr>
        <w:pStyle w:val="Heading3"/>
        <w:rPr>
          <w:sz w:val="22"/>
          <w:szCs w:val="20"/>
        </w:rPr>
      </w:pPr>
      <w:bookmarkStart w:id="24" w:name="_Toc73392274"/>
      <w:bookmarkStart w:id="25" w:name="_Toc74118438"/>
      <w:bookmarkStart w:id="26" w:name="_Toc79420458"/>
      <w:bookmarkStart w:id="27" w:name="_Toc200303205"/>
      <w:r w:rsidRPr="000C5CA4">
        <w:rPr>
          <w:sz w:val="22"/>
          <w:szCs w:val="20"/>
        </w:rPr>
        <w:t>Tržište rada</w:t>
      </w:r>
      <w:bookmarkEnd w:id="24"/>
      <w:bookmarkEnd w:id="25"/>
      <w:bookmarkEnd w:id="26"/>
      <w:bookmarkEnd w:id="27"/>
    </w:p>
    <w:p w14:paraId="3D65CE57" w14:textId="77777777" w:rsidR="00253CE3" w:rsidRPr="000C5CA4" w:rsidRDefault="00253CE3" w:rsidP="00672AC4">
      <w:pPr>
        <w:pStyle w:val="Heading3"/>
        <w:rPr>
          <w:sz w:val="22"/>
          <w:szCs w:val="20"/>
        </w:rPr>
      </w:pPr>
    </w:p>
    <w:p w14:paraId="20C7E117" w14:textId="77777777" w:rsidR="00ED28FE" w:rsidRPr="000C5CA4" w:rsidRDefault="00ED28FE" w:rsidP="00672AC4">
      <w:pPr>
        <w:pStyle w:val="BodyText"/>
        <w:rPr>
          <w:sz w:val="22"/>
          <w:szCs w:val="20"/>
        </w:rPr>
      </w:pPr>
      <w:r w:rsidRPr="000C5CA4">
        <w:rPr>
          <w:sz w:val="22"/>
          <w:szCs w:val="20"/>
        </w:rPr>
        <w:t xml:space="preserve">Ravnopravno učešće žena i muškaraca na tržištu rada je jedan od preduslova za postizanje ciljeva ravnopravnosti spolova. U BiH u svim različitim dobnim skupinama, prihodovnim razredima i lokacijama, muškarci više od žena učestvuju u radnoj snazi. Učešće žena u radnoj snazi u BiH je značajno niže nego što bi se moglo očekivati i trenutno je jedno od najnižih u Evropi. </w:t>
      </w:r>
    </w:p>
    <w:p w14:paraId="7FF9051C" w14:textId="77777777" w:rsidR="00FB0915" w:rsidRPr="000C5CA4" w:rsidRDefault="00FB0915" w:rsidP="00672AC4">
      <w:pPr>
        <w:pStyle w:val="BodyText"/>
        <w:rPr>
          <w:sz w:val="22"/>
          <w:szCs w:val="20"/>
        </w:rPr>
      </w:pPr>
    </w:p>
    <w:p w14:paraId="66B52921" w14:textId="77777777" w:rsidR="00624158" w:rsidRPr="000C5CA4" w:rsidRDefault="00624158" w:rsidP="00624158">
      <w:pPr>
        <w:spacing w:line="276" w:lineRule="auto"/>
        <w:rPr>
          <w:rFonts w:eastAsia="Times New Roman"/>
          <w:sz w:val="22"/>
          <w:szCs w:val="20"/>
        </w:rPr>
      </w:pPr>
      <w:r w:rsidRPr="000C5CA4">
        <w:rPr>
          <w:rFonts w:eastAsia="Times New Roman"/>
          <w:sz w:val="22"/>
          <w:szCs w:val="20"/>
        </w:rPr>
        <w:t>Prema socioekonomskim pokazateljima po općinama za 2023. godinu u Tuzlanskom kantonu (kao i u Posavskom i Unsko-sanskom kantonu) se nalaze klasteri sa iznadprosječnim i najvišim procentom radnosposobnog stanovništva.</w:t>
      </w:r>
      <w:r w:rsidRPr="000C5CA4">
        <w:rPr>
          <w:rStyle w:val="FootnoteReference"/>
          <w:rFonts w:eastAsia="Times New Roman"/>
          <w:sz w:val="22"/>
          <w:szCs w:val="20"/>
        </w:rPr>
        <w:footnoteReference w:id="8"/>
      </w:r>
      <w:r w:rsidRPr="000C5CA4">
        <w:rPr>
          <w:rFonts w:eastAsia="Times New Roman"/>
          <w:sz w:val="22"/>
          <w:szCs w:val="20"/>
        </w:rPr>
        <w:t xml:space="preserve"> Procenat radno sposobnog stanovništva u Kantonu </w:t>
      </w:r>
      <w:r w:rsidRPr="000C5CA4">
        <w:rPr>
          <w:rFonts w:eastAsia="Times New Roman"/>
          <w:sz w:val="22"/>
          <w:szCs w:val="20"/>
        </w:rPr>
        <w:lastRenderedPageBreak/>
        <w:t>iznosi 68,6% sa stopom zaposlenosti od 34,4% i stopom nezaposlenosti od 39,4%.</w:t>
      </w:r>
    </w:p>
    <w:p w14:paraId="05138AF0" w14:textId="77777777" w:rsidR="00624158" w:rsidRPr="000C5CA4" w:rsidRDefault="00624158" w:rsidP="00672AC4">
      <w:pPr>
        <w:pStyle w:val="BodyText"/>
        <w:rPr>
          <w:sz w:val="22"/>
          <w:szCs w:val="20"/>
        </w:rPr>
      </w:pPr>
    </w:p>
    <w:p w14:paraId="028C3771" w14:textId="2BEAFF32" w:rsidR="00ED28FE" w:rsidRPr="000C5CA4" w:rsidRDefault="00FB0915" w:rsidP="00672AC4">
      <w:pPr>
        <w:pStyle w:val="BodyText"/>
        <w:rPr>
          <w:sz w:val="22"/>
          <w:szCs w:val="20"/>
        </w:rPr>
      </w:pPr>
      <w:r w:rsidRPr="000C5CA4">
        <w:rPr>
          <w:sz w:val="22"/>
          <w:szCs w:val="20"/>
        </w:rPr>
        <w:t xml:space="preserve">Prema podacima Federalnog zavoda za statistiku, </w:t>
      </w:r>
      <w:r w:rsidR="00ED28FE" w:rsidRPr="000C5CA4">
        <w:rPr>
          <w:sz w:val="22"/>
          <w:szCs w:val="20"/>
        </w:rPr>
        <w:t xml:space="preserve">broj zaposlenih </w:t>
      </w:r>
      <w:r w:rsidRPr="000C5CA4">
        <w:rPr>
          <w:sz w:val="22"/>
          <w:szCs w:val="20"/>
        </w:rPr>
        <w:t xml:space="preserve">na području </w:t>
      </w:r>
      <w:r w:rsidRPr="000C5CA4">
        <w:rPr>
          <w:sz w:val="22"/>
          <w:szCs w:val="20"/>
          <w:u w:color="92D050"/>
        </w:rPr>
        <w:t>TK</w:t>
      </w:r>
      <w:r w:rsidRPr="000C5CA4">
        <w:rPr>
          <w:sz w:val="22"/>
          <w:szCs w:val="20"/>
        </w:rPr>
        <w:t xml:space="preserve"> </w:t>
      </w:r>
      <w:r w:rsidR="00ED28FE" w:rsidRPr="000C5CA4">
        <w:rPr>
          <w:sz w:val="22"/>
          <w:szCs w:val="20"/>
        </w:rPr>
        <w:t>je u</w:t>
      </w:r>
      <w:r w:rsidR="0019594A" w:rsidRPr="000C5CA4">
        <w:rPr>
          <w:sz w:val="22"/>
          <w:szCs w:val="20"/>
        </w:rPr>
        <w:t xml:space="preserve"> stalnom </w:t>
      </w:r>
      <w:r w:rsidR="00ED28FE" w:rsidRPr="000C5CA4">
        <w:rPr>
          <w:sz w:val="22"/>
          <w:szCs w:val="20"/>
        </w:rPr>
        <w:t>porastu i u 202</w:t>
      </w:r>
      <w:r w:rsidR="00624158" w:rsidRPr="000C5CA4">
        <w:rPr>
          <w:sz w:val="22"/>
          <w:szCs w:val="20"/>
        </w:rPr>
        <w:t>4</w:t>
      </w:r>
      <w:r w:rsidR="00ED28FE" w:rsidRPr="000C5CA4">
        <w:rPr>
          <w:sz w:val="22"/>
          <w:szCs w:val="20"/>
        </w:rPr>
        <w:t xml:space="preserve">. </w:t>
      </w:r>
      <w:r w:rsidR="00EA5156" w:rsidRPr="000C5CA4">
        <w:rPr>
          <w:sz w:val="22"/>
          <w:szCs w:val="20"/>
        </w:rPr>
        <w:t xml:space="preserve">godini </w:t>
      </w:r>
      <w:r w:rsidR="00ED28FE" w:rsidRPr="000C5CA4">
        <w:rPr>
          <w:sz w:val="22"/>
          <w:szCs w:val="20"/>
        </w:rPr>
        <w:t xml:space="preserve">prosječni broj je iznosio </w:t>
      </w:r>
      <w:r w:rsidR="0019594A" w:rsidRPr="000C5CA4">
        <w:rPr>
          <w:sz w:val="22"/>
          <w:szCs w:val="20"/>
        </w:rPr>
        <w:t>10</w:t>
      </w:r>
      <w:r w:rsidR="00624158" w:rsidRPr="000C5CA4">
        <w:rPr>
          <w:sz w:val="22"/>
          <w:szCs w:val="20"/>
        </w:rPr>
        <w:t>2.838</w:t>
      </w:r>
      <w:r w:rsidR="00ED28FE" w:rsidRPr="000C5CA4">
        <w:rPr>
          <w:sz w:val="22"/>
          <w:szCs w:val="20"/>
        </w:rPr>
        <w:t xml:space="preserve"> osoba dok je ukupa</w:t>
      </w:r>
      <w:r w:rsidR="00EA5156" w:rsidRPr="000C5CA4">
        <w:rPr>
          <w:sz w:val="22"/>
          <w:szCs w:val="20"/>
        </w:rPr>
        <w:t xml:space="preserve">n broj nezaposlenih </w:t>
      </w:r>
      <w:r w:rsidR="0019594A" w:rsidRPr="000C5CA4">
        <w:rPr>
          <w:sz w:val="22"/>
          <w:szCs w:val="20"/>
        </w:rPr>
        <w:t>u opadanju i u 202</w:t>
      </w:r>
      <w:r w:rsidR="00624158" w:rsidRPr="000C5CA4">
        <w:rPr>
          <w:sz w:val="22"/>
          <w:szCs w:val="20"/>
        </w:rPr>
        <w:t>4</w:t>
      </w:r>
      <w:r w:rsidR="0019594A" w:rsidRPr="000C5CA4">
        <w:rPr>
          <w:sz w:val="22"/>
          <w:szCs w:val="20"/>
        </w:rPr>
        <w:t xml:space="preserve">. godini iznosio je </w:t>
      </w:r>
      <w:r w:rsidR="00624158" w:rsidRPr="000C5CA4">
        <w:rPr>
          <w:sz w:val="22"/>
          <w:szCs w:val="20"/>
        </w:rPr>
        <w:t>60.459</w:t>
      </w:r>
      <w:r w:rsidR="00ED28FE" w:rsidRPr="000C5CA4">
        <w:rPr>
          <w:sz w:val="22"/>
          <w:szCs w:val="20"/>
        </w:rPr>
        <w:t xml:space="preserve">. </w:t>
      </w:r>
      <w:r w:rsidR="003A315A" w:rsidRPr="000C5CA4">
        <w:rPr>
          <w:rStyle w:val="FootnoteReference"/>
          <w:sz w:val="22"/>
          <w:szCs w:val="20"/>
        </w:rPr>
        <w:footnoteReference w:id="9"/>
      </w:r>
    </w:p>
    <w:p w14:paraId="04B6ABD7" w14:textId="140EBC0B" w:rsidR="00EA5156" w:rsidRPr="000C5CA4" w:rsidRDefault="000F181E" w:rsidP="0019594A">
      <w:pPr>
        <w:pStyle w:val="BodyText"/>
        <w:jc w:val="center"/>
        <w:rPr>
          <w:sz w:val="22"/>
          <w:szCs w:val="20"/>
        </w:rPr>
      </w:pPr>
      <w:r w:rsidRPr="000C5CA4">
        <w:rPr>
          <w:noProof/>
          <w:sz w:val="22"/>
          <w:szCs w:val="20"/>
          <w:lang w:eastAsia="bs-Latn-BA"/>
        </w:rPr>
        <w:drawing>
          <wp:inline distT="0" distB="0" distL="0" distR="0" wp14:anchorId="1450BBE1" wp14:editId="71D57B2F">
            <wp:extent cx="4572000" cy="26289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B8E32E" w14:textId="5954CB99" w:rsidR="00EA5156" w:rsidRPr="000C5CA4" w:rsidRDefault="00EA5156" w:rsidP="0019594A">
      <w:pPr>
        <w:spacing w:line="276" w:lineRule="auto"/>
        <w:jc w:val="center"/>
        <w:rPr>
          <w:sz w:val="22"/>
          <w:szCs w:val="20"/>
        </w:rPr>
      </w:pPr>
      <w:r w:rsidRPr="000C5CA4">
        <w:rPr>
          <w:sz w:val="22"/>
          <w:szCs w:val="20"/>
        </w:rPr>
        <w:t xml:space="preserve">Izvor: </w:t>
      </w:r>
      <w:r w:rsidR="00F44C78" w:rsidRPr="000C5CA4">
        <w:rPr>
          <w:sz w:val="22"/>
          <w:szCs w:val="20"/>
        </w:rPr>
        <w:t xml:space="preserve">Federalni zavod za statistiku, </w:t>
      </w:r>
      <w:r w:rsidRPr="000C5CA4">
        <w:rPr>
          <w:sz w:val="22"/>
          <w:szCs w:val="20"/>
        </w:rPr>
        <w:t>Tuzlanski kanton u brojkama</w:t>
      </w:r>
      <w:r w:rsidR="000F181E" w:rsidRPr="000C5CA4">
        <w:rPr>
          <w:sz w:val="22"/>
          <w:szCs w:val="20"/>
        </w:rPr>
        <w:t xml:space="preserve"> i Zaposl</w:t>
      </w:r>
      <w:r w:rsidR="00624158" w:rsidRPr="000C5CA4">
        <w:rPr>
          <w:sz w:val="22"/>
          <w:szCs w:val="20"/>
        </w:rPr>
        <w:t>enost, nezaposlenost i plaće u F</w:t>
      </w:r>
      <w:r w:rsidR="000F181E" w:rsidRPr="000C5CA4">
        <w:rPr>
          <w:sz w:val="22"/>
          <w:szCs w:val="20"/>
        </w:rPr>
        <w:t xml:space="preserve">ederaciji </w:t>
      </w:r>
      <w:r w:rsidR="00624158" w:rsidRPr="000C5CA4">
        <w:rPr>
          <w:sz w:val="22"/>
          <w:szCs w:val="20"/>
        </w:rPr>
        <w:t>B</w:t>
      </w:r>
      <w:r w:rsidR="000F181E" w:rsidRPr="000C5CA4">
        <w:rPr>
          <w:sz w:val="22"/>
          <w:szCs w:val="20"/>
        </w:rPr>
        <w:t>i</w:t>
      </w:r>
      <w:r w:rsidR="00624158" w:rsidRPr="000C5CA4">
        <w:rPr>
          <w:sz w:val="22"/>
          <w:szCs w:val="20"/>
        </w:rPr>
        <w:t>H</w:t>
      </w:r>
      <w:r w:rsidR="000F181E" w:rsidRPr="000C5CA4">
        <w:rPr>
          <w:sz w:val="22"/>
          <w:szCs w:val="20"/>
        </w:rPr>
        <w:t xml:space="preserve"> po kantonima, 2024.</w:t>
      </w:r>
    </w:p>
    <w:p w14:paraId="352C2866" w14:textId="77777777" w:rsidR="007C1F00" w:rsidRPr="000C5CA4" w:rsidRDefault="007C1F00" w:rsidP="0019594A">
      <w:pPr>
        <w:spacing w:line="276" w:lineRule="auto"/>
        <w:jc w:val="center"/>
        <w:rPr>
          <w:sz w:val="22"/>
          <w:szCs w:val="20"/>
        </w:rPr>
      </w:pPr>
    </w:p>
    <w:p w14:paraId="78A8BF1A" w14:textId="14AF6511" w:rsidR="000F181E" w:rsidRPr="000C5CA4" w:rsidRDefault="00624158" w:rsidP="0019594A">
      <w:pPr>
        <w:spacing w:line="276" w:lineRule="auto"/>
        <w:rPr>
          <w:rFonts w:eastAsia="Times New Roman"/>
          <w:sz w:val="22"/>
          <w:szCs w:val="20"/>
        </w:rPr>
      </w:pPr>
      <w:r w:rsidRPr="000C5CA4">
        <w:rPr>
          <w:rFonts w:eastAsia="Times New Roman"/>
          <w:sz w:val="22"/>
          <w:szCs w:val="20"/>
        </w:rPr>
        <w:t>Zaposleni u Tuzlanskom kantonu iznose 18,78% od ukupnog broja zapolsnenih u Federaciji Bosne i Hercegovine, dok broj zaposlenih osoba ženskog spola u odnosu na FBiH iznosi 17,29%. Najveći broj zaposlenih u Tuzlanskom kantonu je u Prerađivačkoj industriji</w:t>
      </w:r>
      <w:r w:rsidR="0069004A" w:rsidRPr="000C5CA4">
        <w:rPr>
          <w:rFonts w:eastAsia="Times New Roman"/>
          <w:sz w:val="22"/>
          <w:szCs w:val="20"/>
        </w:rPr>
        <w:t xml:space="preserve"> (23%)</w:t>
      </w:r>
      <w:r w:rsidRPr="000C5CA4">
        <w:rPr>
          <w:rFonts w:eastAsia="Times New Roman"/>
          <w:sz w:val="22"/>
          <w:szCs w:val="20"/>
        </w:rPr>
        <w:t xml:space="preserve">, a potom </w:t>
      </w:r>
      <w:r w:rsidR="0069004A" w:rsidRPr="000C5CA4">
        <w:rPr>
          <w:rFonts w:eastAsia="Times New Roman"/>
          <w:sz w:val="22"/>
          <w:szCs w:val="20"/>
        </w:rPr>
        <w:t>u oblasti Trgovine na veliko i na malo; popravak motornih vozila i motocikala (19%) te Obrazovanju (8%) i djelatnosti zdravstvene i socijalne zaštite (7%).</w:t>
      </w:r>
    </w:p>
    <w:p w14:paraId="10F8440D" w14:textId="77777777" w:rsidR="000C5CA4" w:rsidRPr="000C5CA4" w:rsidRDefault="000C5CA4" w:rsidP="0019594A">
      <w:pPr>
        <w:spacing w:line="276" w:lineRule="auto"/>
        <w:rPr>
          <w:rFonts w:eastAsia="Times New Roman"/>
          <w:sz w:val="22"/>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677"/>
        <w:gridCol w:w="1985"/>
        <w:gridCol w:w="1984"/>
      </w:tblGrid>
      <w:tr w:rsidR="0069004A" w:rsidRPr="000C5CA4" w14:paraId="58856EB5" w14:textId="77777777" w:rsidTr="00DE5EEB">
        <w:trPr>
          <w:trHeight w:val="699"/>
        </w:trPr>
        <w:tc>
          <w:tcPr>
            <w:tcW w:w="421" w:type="dxa"/>
            <w:shd w:val="clear" w:color="auto" w:fill="B4C6E7" w:themeFill="accent5" w:themeFillTint="66"/>
            <w:noWrap/>
            <w:vAlign w:val="bottom"/>
            <w:hideMark/>
          </w:tcPr>
          <w:p w14:paraId="3445B21B" w14:textId="77777777" w:rsidR="0069004A" w:rsidRPr="000C5CA4" w:rsidRDefault="0069004A" w:rsidP="0069004A">
            <w:pPr>
              <w:widowControl/>
              <w:tabs>
                <w:tab w:val="clear" w:pos="5103"/>
              </w:tabs>
              <w:autoSpaceDE/>
              <w:autoSpaceDN/>
              <w:spacing w:line="240" w:lineRule="auto"/>
              <w:ind w:right="0"/>
              <w:jc w:val="left"/>
              <w:rPr>
                <w:rFonts w:eastAsia="Times New Roman"/>
                <w:sz w:val="18"/>
                <w:szCs w:val="18"/>
                <w:lang w:eastAsia="bs-Latn-BA"/>
              </w:rPr>
            </w:pPr>
          </w:p>
        </w:tc>
        <w:tc>
          <w:tcPr>
            <w:tcW w:w="4677" w:type="dxa"/>
            <w:shd w:val="clear" w:color="auto" w:fill="B4C6E7" w:themeFill="accent5" w:themeFillTint="66"/>
            <w:noWrap/>
            <w:vAlign w:val="center"/>
            <w:hideMark/>
          </w:tcPr>
          <w:p w14:paraId="70CE79D7" w14:textId="74B4316D" w:rsidR="0069004A" w:rsidRPr="000C5CA4" w:rsidRDefault="0069004A" w:rsidP="0069004A">
            <w:pPr>
              <w:widowControl/>
              <w:tabs>
                <w:tab w:val="clear" w:pos="5103"/>
              </w:tabs>
              <w:autoSpaceDE/>
              <w:autoSpaceDN/>
              <w:spacing w:line="240" w:lineRule="auto"/>
              <w:ind w:right="0"/>
              <w:jc w:val="center"/>
              <w:rPr>
                <w:rFonts w:eastAsia="Times New Roman"/>
                <w:b/>
                <w:sz w:val="18"/>
                <w:szCs w:val="18"/>
                <w:lang w:eastAsia="bs-Latn-BA"/>
              </w:rPr>
            </w:pPr>
            <w:r w:rsidRPr="000C5CA4">
              <w:rPr>
                <w:rFonts w:eastAsia="Times New Roman"/>
                <w:b/>
                <w:sz w:val="18"/>
                <w:szCs w:val="18"/>
                <w:lang w:eastAsia="bs-Latn-BA"/>
              </w:rPr>
              <w:t>Područja</w:t>
            </w:r>
          </w:p>
        </w:tc>
        <w:tc>
          <w:tcPr>
            <w:tcW w:w="1985" w:type="dxa"/>
            <w:shd w:val="clear" w:color="auto" w:fill="B4C6E7" w:themeFill="accent5" w:themeFillTint="66"/>
            <w:vAlign w:val="center"/>
            <w:hideMark/>
          </w:tcPr>
          <w:p w14:paraId="3C252A9C" w14:textId="77777777" w:rsidR="0069004A" w:rsidRPr="000C5CA4" w:rsidRDefault="0069004A" w:rsidP="0069004A">
            <w:pPr>
              <w:widowControl/>
              <w:tabs>
                <w:tab w:val="clear" w:pos="5103"/>
              </w:tabs>
              <w:autoSpaceDE/>
              <w:autoSpaceDN/>
              <w:spacing w:line="240" w:lineRule="auto"/>
              <w:ind w:right="0"/>
              <w:jc w:val="center"/>
              <w:rPr>
                <w:rFonts w:eastAsia="Times New Roman" w:cs="Calibri"/>
                <w:b/>
                <w:color w:val="000000"/>
                <w:sz w:val="18"/>
                <w:szCs w:val="18"/>
                <w:lang w:eastAsia="bs-Latn-BA"/>
              </w:rPr>
            </w:pPr>
            <w:r w:rsidRPr="000C5CA4">
              <w:rPr>
                <w:rFonts w:eastAsia="Times New Roman" w:cs="Calibri"/>
                <w:b/>
                <w:color w:val="000000"/>
                <w:sz w:val="18"/>
                <w:szCs w:val="18"/>
                <w:lang w:eastAsia="bs-Latn-BA"/>
              </w:rPr>
              <w:t>Zaposleni u odnosu na ukupan broj zaposlenih</w:t>
            </w:r>
          </w:p>
        </w:tc>
        <w:tc>
          <w:tcPr>
            <w:tcW w:w="1984" w:type="dxa"/>
            <w:shd w:val="clear" w:color="auto" w:fill="B4C6E7" w:themeFill="accent5" w:themeFillTint="66"/>
            <w:noWrap/>
            <w:vAlign w:val="center"/>
            <w:hideMark/>
          </w:tcPr>
          <w:p w14:paraId="78E08619" w14:textId="77777777" w:rsidR="0069004A" w:rsidRPr="000C5CA4" w:rsidRDefault="0069004A" w:rsidP="0069004A">
            <w:pPr>
              <w:widowControl/>
              <w:tabs>
                <w:tab w:val="clear" w:pos="5103"/>
              </w:tabs>
              <w:autoSpaceDE/>
              <w:autoSpaceDN/>
              <w:spacing w:line="240" w:lineRule="auto"/>
              <w:ind w:right="0"/>
              <w:jc w:val="center"/>
              <w:rPr>
                <w:rFonts w:eastAsia="Times New Roman" w:cs="Calibri"/>
                <w:b/>
                <w:color w:val="000000"/>
                <w:sz w:val="18"/>
                <w:szCs w:val="18"/>
                <w:lang w:eastAsia="bs-Latn-BA"/>
              </w:rPr>
            </w:pPr>
            <w:r w:rsidRPr="000C5CA4">
              <w:rPr>
                <w:rFonts w:eastAsia="Times New Roman" w:cs="Calibri"/>
                <w:b/>
                <w:color w:val="000000"/>
                <w:sz w:val="18"/>
                <w:szCs w:val="18"/>
                <w:lang w:eastAsia="bs-Latn-BA"/>
              </w:rPr>
              <w:t>Od toga žene</w:t>
            </w:r>
          </w:p>
        </w:tc>
      </w:tr>
      <w:tr w:rsidR="00DE5EEB" w:rsidRPr="000C5CA4" w14:paraId="0A9D436C" w14:textId="77777777" w:rsidTr="00DE5EEB">
        <w:trPr>
          <w:trHeight w:val="288"/>
        </w:trPr>
        <w:tc>
          <w:tcPr>
            <w:tcW w:w="421" w:type="dxa"/>
            <w:shd w:val="clear" w:color="auto" w:fill="B4C6E7" w:themeFill="accent5" w:themeFillTint="66"/>
            <w:noWrap/>
            <w:vAlign w:val="center"/>
            <w:hideMark/>
          </w:tcPr>
          <w:p w14:paraId="11F4F8E3"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A</w:t>
            </w:r>
          </w:p>
        </w:tc>
        <w:tc>
          <w:tcPr>
            <w:tcW w:w="4677" w:type="dxa"/>
            <w:shd w:val="clear" w:color="auto" w:fill="B4C6E7" w:themeFill="accent5" w:themeFillTint="66"/>
            <w:vAlign w:val="center"/>
            <w:hideMark/>
          </w:tcPr>
          <w:p w14:paraId="7DFCDBDA"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Poljoprivreda, šumarstvo i ribolov</w:t>
            </w:r>
          </w:p>
        </w:tc>
        <w:tc>
          <w:tcPr>
            <w:tcW w:w="1985" w:type="dxa"/>
            <w:shd w:val="clear" w:color="auto" w:fill="D9E2F3" w:themeFill="accent5" w:themeFillTint="33"/>
            <w:noWrap/>
            <w:vAlign w:val="center"/>
            <w:hideMark/>
          </w:tcPr>
          <w:p w14:paraId="688B2DA8" w14:textId="3667DC04"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1.56%</w:t>
            </w:r>
          </w:p>
        </w:tc>
        <w:tc>
          <w:tcPr>
            <w:tcW w:w="1984" w:type="dxa"/>
            <w:shd w:val="clear" w:color="auto" w:fill="FFF2CC" w:themeFill="accent4" w:themeFillTint="33"/>
            <w:noWrap/>
            <w:vAlign w:val="center"/>
            <w:hideMark/>
          </w:tcPr>
          <w:p w14:paraId="3E6382CA" w14:textId="7560E4CC"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19.36%</w:t>
            </w:r>
          </w:p>
        </w:tc>
      </w:tr>
      <w:tr w:rsidR="00DE5EEB" w:rsidRPr="000C5CA4" w14:paraId="100D5D01" w14:textId="77777777" w:rsidTr="00DE5EEB">
        <w:trPr>
          <w:trHeight w:val="288"/>
        </w:trPr>
        <w:tc>
          <w:tcPr>
            <w:tcW w:w="421" w:type="dxa"/>
            <w:shd w:val="clear" w:color="auto" w:fill="B4C6E7" w:themeFill="accent5" w:themeFillTint="66"/>
            <w:noWrap/>
            <w:vAlign w:val="center"/>
            <w:hideMark/>
          </w:tcPr>
          <w:p w14:paraId="4E303703"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B</w:t>
            </w:r>
          </w:p>
        </w:tc>
        <w:tc>
          <w:tcPr>
            <w:tcW w:w="4677" w:type="dxa"/>
            <w:shd w:val="clear" w:color="auto" w:fill="B4C6E7" w:themeFill="accent5" w:themeFillTint="66"/>
            <w:vAlign w:val="center"/>
            <w:hideMark/>
          </w:tcPr>
          <w:p w14:paraId="2ABB5172"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Vađenje ruda i kamena</w:t>
            </w:r>
          </w:p>
        </w:tc>
        <w:tc>
          <w:tcPr>
            <w:tcW w:w="1985" w:type="dxa"/>
            <w:shd w:val="clear" w:color="auto" w:fill="D9E2F3" w:themeFill="accent5" w:themeFillTint="33"/>
            <w:noWrap/>
            <w:vAlign w:val="center"/>
            <w:hideMark/>
          </w:tcPr>
          <w:p w14:paraId="6F3056B5" w14:textId="3D1CF289"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5.48%</w:t>
            </w:r>
          </w:p>
        </w:tc>
        <w:tc>
          <w:tcPr>
            <w:tcW w:w="1984" w:type="dxa"/>
            <w:shd w:val="clear" w:color="auto" w:fill="FFF2CC" w:themeFill="accent4" w:themeFillTint="33"/>
            <w:noWrap/>
            <w:vAlign w:val="center"/>
            <w:hideMark/>
          </w:tcPr>
          <w:p w14:paraId="2C7B44DB" w14:textId="544D82FD"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7.15%</w:t>
            </w:r>
          </w:p>
        </w:tc>
      </w:tr>
      <w:tr w:rsidR="00DE5EEB" w:rsidRPr="000C5CA4" w14:paraId="2A9E3B52" w14:textId="77777777" w:rsidTr="00DE5EEB">
        <w:trPr>
          <w:trHeight w:val="288"/>
        </w:trPr>
        <w:tc>
          <w:tcPr>
            <w:tcW w:w="421" w:type="dxa"/>
            <w:shd w:val="clear" w:color="auto" w:fill="B4C6E7" w:themeFill="accent5" w:themeFillTint="66"/>
            <w:noWrap/>
            <w:vAlign w:val="center"/>
            <w:hideMark/>
          </w:tcPr>
          <w:p w14:paraId="6BB5A1DD"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C</w:t>
            </w:r>
          </w:p>
        </w:tc>
        <w:tc>
          <w:tcPr>
            <w:tcW w:w="4677" w:type="dxa"/>
            <w:shd w:val="clear" w:color="auto" w:fill="B4C6E7" w:themeFill="accent5" w:themeFillTint="66"/>
            <w:vAlign w:val="center"/>
            <w:hideMark/>
          </w:tcPr>
          <w:p w14:paraId="320F8576"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Prerađivačka industrija</w:t>
            </w:r>
          </w:p>
        </w:tc>
        <w:tc>
          <w:tcPr>
            <w:tcW w:w="1985" w:type="dxa"/>
            <w:shd w:val="clear" w:color="auto" w:fill="D9E2F3" w:themeFill="accent5" w:themeFillTint="33"/>
            <w:noWrap/>
            <w:vAlign w:val="center"/>
            <w:hideMark/>
          </w:tcPr>
          <w:p w14:paraId="187FC22E" w14:textId="6DC05C27" w:rsidR="00DE5EEB" w:rsidRPr="000C5CA4" w:rsidRDefault="00DE5EEB" w:rsidP="00DE5EEB">
            <w:pPr>
              <w:widowControl/>
              <w:tabs>
                <w:tab w:val="clear" w:pos="5103"/>
              </w:tabs>
              <w:autoSpaceDE/>
              <w:autoSpaceDN/>
              <w:spacing w:line="240" w:lineRule="auto"/>
              <w:ind w:right="0"/>
              <w:jc w:val="center"/>
              <w:rPr>
                <w:rFonts w:eastAsia="Times New Roman" w:cs="Calibri"/>
                <w:b/>
                <w:color w:val="000000"/>
                <w:sz w:val="18"/>
                <w:szCs w:val="18"/>
                <w:lang w:eastAsia="bs-Latn-BA"/>
              </w:rPr>
            </w:pPr>
            <w:r w:rsidRPr="000C5CA4">
              <w:rPr>
                <w:rFonts w:cs="Calibri"/>
                <w:b/>
                <w:color w:val="000000"/>
                <w:sz w:val="18"/>
                <w:szCs w:val="20"/>
              </w:rPr>
              <w:t>23.38%</w:t>
            </w:r>
          </w:p>
        </w:tc>
        <w:tc>
          <w:tcPr>
            <w:tcW w:w="1984" w:type="dxa"/>
            <w:shd w:val="clear" w:color="auto" w:fill="FFF2CC" w:themeFill="accent4" w:themeFillTint="33"/>
            <w:noWrap/>
            <w:vAlign w:val="center"/>
            <w:hideMark/>
          </w:tcPr>
          <w:p w14:paraId="78492F08" w14:textId="0DC48732"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35.57%</w:t>
            </w:r>
          </w:p>
        </w:tc>
      </w:tr>
      <w:tr w:rsidR="00DE5EEB" w:rsidRPr="000C5CA4" w14:paraId="1D8581B7" w14:textId="77777777" w:rsidTr="00DE5EEB">
        <w:trPr>
          <w:trHeight w:val="528"/>
        </w:trPr>
        <w:tc>
          <w:tcPr>
            <w:tcW w:w="421" w:type="dxa"/>
            <w:shd w:val="clear" w:color="auto" w:fill="B4C6E7" w:themeFill="accent5" w:themeFillTint="66"/>
            <w:noWrap/>
            <w:vAlign w:val="center"/>
            <w:hideMark/>
          </w:tcPr>
          <w:p w14:paraId="1356848B"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D</w:t>
            </w:r>
          </w:p>
        </w:tc>
        <w:tc>
          <w:tcPr>
            <w:tcW w:w="4677" w:type="dxa"/>
            <w:shd w:val="clear" w:color="auto" w:fill="B4C6E7" w:themeFill="accent5" w:themeFillTint="66"/>
            <w:vAlign w:val="center"/>
            <w:hideMark/>
          </w:tcPr>
          <w:p w14:paraId="79279478" w14:textId="4B126A0A"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Proizvodnja i snabdijevanje električnom energijom, plinom, parom i klimatizacija</w:t>
            </w:r>
          </w:p>
        </w:tc>
        <w:tc>
          <w:tcPr>
            <w:tcW w:w="1985" w:type="dxa"/>
            <w:shd w:val="clear" w:color="auto" w:fill="D9E2F3" w:themeFill="accent5" w:themeFillTint="33"/>
            <w:noWrap/>
            <w:vAlign w:val="center"/>
            <w:hideMark/>
          </w:tcPr>
          <w:p w14:paraId="7E77C6D6" w14:textId="10895374"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1.35%</w:t>
            </w:r>
          </w:p>
        </w:tc>
        <w:tc>
          <w:tcPr>
            <w:tcW w:w="1984" w:type="dxa"/>
            <w:shd w:val="clear" w:color="auto" w:fill="FFF2CC" w:themeFill="accent4" w:themeFillTint="33"/>
            <w:noWrap/>
            <w:vAlign w:val="center"/>
            <w:hideMark/>
          </w:tcPr>
          <w:p w14:paraId="5413FAB3" w14:textId="3638375B"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13.18%</w:t>
            </w:r>
          </w:p>
        </w:tc>
      </w:tr>
      <w:tr w:rsidR="00DE5EEB" w:rsidRPr="000C5CA4" w14:paraId="13351EB8" w14:textId="77777777" w:rsidTr="00DE5EEB">
        <w:trPr>
          <w:trHeight w:val="528"/>
        </w:trPr>
        <w:tc>
          <w:tcPr>
            <w:tcW w:w="421" w:type="dxa"/>
            <w:shd w:val="clear" w:color="auto" w:fill="B4C6E7" w:themeFill="accent5" w:themeFillTint="66"/>
            <w:noWrap/>
            <w:vAlign w:val="center"/>
            <w:hideMark/>
          </w:tcPr>
          <w:p w14:paraId="25CE1768"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E</w:t>
            </w:r>
          </w:p>
        </w:tc>
        <w:tc>
          <w:tcPr>
            <w:tcW w:w="4677" w:type="dxa"/>
            <w:shd w:val="clear" w:color="auto" w:fill="B4C6E7" w:themeFill="accent5" w:themeFillTint="66"/>
            <w:vAlign w:val="center"/>
            <w:hideMark/>
          </w:tcPr>
          <w:p w14:paraId="6E64C705" w14:textId="33789DA5"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Snabdijevanje vodom; uklanjanje otpadnih voda, upravljanje otpadom te djelatnosti sanacije okoliša</w:t>
            </w:r>
          </w:p>
        </w:tc>
        <w:tc>
          <w:tcPr>
            <w:tcW w:w="1985" w:type="dxa"/>
            <w:shd w:val="clear" w:color="auto" w:fill="D9E2F3" w:themeFill="accent5" w:themeFillTint="33"/>
            <w:noWrap/>
            <w:vAlign w:val="center"/>
            <w:hideMark/>
          </w:tcPr>
          <w:p w14:paraId="2B340DA5" w14:textId="7F13F74A"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1.48%</w:t>
            </w:r>
          </w:p>
        </w:tc>
        <w:tc>
          <w:tcPr>
            <w:tcW w:w="1984" w:type="dxa"/>
            <w:shd w:val="clear" w:color="auto" w:fill="FFF2CC" w:themeFill="accent4" w:themeFillTint="33"/>
            <w:noWrap/>
            <w:vAlign w:val="center"/>
            <w:hideMark/>
          </w:tcPr>
          <w:p w14:paraId="06FC2C1E" w14:textId="54AC9771"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15.83%</w:t>
            </w:r>
          </w:p>
        </w:tc>
      </w:tr>
      <w:tr w:rsidR="00DE5EEB" w:rsidRPr="000C5CA4" w14:paraId="7D69C46E" w14:textId="77777777" w:rsidTr="00DE5EEB">
        <w:trPr>
          <w:trHeight w:val="288"/>
        </w:trPr>
        <w:tc>
          <w:tcPr>
            <w:tcW w:w="421" w:type="dxa"/>
            <w:shd w:val="clear" w:color="auto" w:fill="B4C6E7" w:themeFill="accent5" w:themeFillTint="66"/>
            <w:noWrap/>
            <w:vAlign w:val="center"/>
            <w:hideMark/>
          </w:tcPr>
          <w:p w14:paraId="77E82593"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F</w:t>
            </w:r>
          </w:p>
        </w:tc>
        <w:tc>
          <w:tcPr>
            <w:tcW w:w="4677" w:type="dxa"/>
            <w:shd w:val="clear" w:color="auto" w:fill="B4C6E7" w:themeFill="accent5" w:themeFillTint="66"/>
            <w:vAlign w:val="center"/>
            <w:hideMark/>
          </w:tcPr>
          <w:p w14:paraId="1FF6631A"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Građevinarstvo</w:t>
            </w:r>
          </w:p>
        </w:tc>
        <w:tc>
          <w:tcPr>
            <w:tcW w:w="1985" w:type="dxa"/>
            <w:shd w:val="clear" w:color="auto" w:fill="D9E2F3" w:themeFill="accent5" w:themeFillTint="33"/>
            <w:noWrap/>
            <w:vAlign w:val="center"/>
            <w:hideMark/>
          </w:tcPr>
          <w:p w14:paraId="4A44A919" w14:textId="74546977"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6.32%</w:t>
            </w:r>
          </w:p>
        </w:tc>
        <w:tc>
          <w:tcPr>
            <w:tcW w:w="1984" w:type="dxa"/>
            <w:shd w:val="clear" w:color="auto" w:fill="FFF2CC" w:themeFill="accent4" w:themeFillTint="33"/>
            <w:noWrap/>
            <w:vAlign w:val="center"/>
            <w:hideMark/>
          </w:tcPr>
          <w:p w14:paraId="4717F6F4" w14:textId="082D40E7"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8.57%</w:t>
            </w:r>
          </w:p>
        </w:tc>
      </w:tr>
      <w:tr w:rsidR="00DE5EEB" w:rsidRPr="000C5CA4" w14:paraId="608CC5ED" w14:textId="77777777" w:rsidTr="00DE5EEB">
        <w:trPr>
          <w:trHeight w:val="288"/>
        </w:trPr>
        <w:tc>
          <w:tcPr>
            <w:tcW w:w="421" w:type="dxa"/>
            <w:shd w:val="clear" w:color="auto" w:fill="B4C6E7" w:themeFill="accent5" w:themeFillTint="66"/>
            <w:noWrap/>
            <w:vAlign w:val="center"/>
            <w:hideMark/>
          </w:tcPr>
          <w:p w14:paraId="5DA1AF56"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G</w:t>
            </w:r>
          </w:p>
        </w:tc>
        <w:tc>
          <w:tcPr>
            <w:tcW w:w="4677" w:type="dxa"/>
            <w:shd w:val="clear" w:color="auto" w:fill="B4C6E7" w:themeFill="accent5" w:themeFillTint="66"/>
            <w:vAlign w:val="center"/>
            <w:hideMark/>
          </w:tcPr>
          <w:p w14:paraId="1ED06E5B"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Trgovina na veliko i na malo; popravak motornih vozila i motocikala</w:t>
            </w:r>
          </w:p>
        </w:tc>
        <w:tc>
          <w:tcPr>
            <w:tcW w:w="1985" w:type="dxa"/>
            <w:shd w:val="clear" w:color="auto" w:fill="D9E2F3" w:themeFill="accent5" w:themeFillTint="33"/>
            <w:noWrap/>
            <w:vAlign w:val="center"/>
            <w:hideMark/>
          </w:tcPr>
          <w:p w14:paraId="3D26530E" w14:textId="145EC9C6" w:rsidR="00DE5EEB" w:rsidRPr="000C5CA4" w:rsidRDefault="00DE5EEB" w:rsidP="00DE5EEB">
            <w:pPr>
              <w:widowControl/>
              <w:tabs>
                <w:tab w:val="clear" w:pos="5103"/>
              </w:tabs>
              <w:autoSpaceDE/>
              <w:autoSpaceDN/>
              <w:spacing w:line="240" w:lineRule="auto"/>
              <w:ind w:right="0"/>
              <w:jc w:val="center"/>
              <w:rPr>
                <w:rFonts w:eastAsia="Times New Roman" w:cs="Calibri"/>
                <w:b/>
                <w:color w:val="000000"/>
                <w:sz w:val="18"/>
                <w:szCs w:val="18"/>
                <w:lang w:eastAsia="bs-Latn-BA"/>
              </w:rPr>
            </w:pPr>
            <w:r w:rsidRPr="000C5CA4">
              <w:rPr>
                <w:rFonts w:cs="Calibri"/>
                <w:b/>
                <w:color w:val="000000"/>
                <w:sz w:val="18"/>
                <w:szCs w:val="20"/>
              </w:rPr>
              <w:t>18.55%</w:t>
            </w:r>
          </w:p>
        </w:tc>
        <w:tc>
          <w:tcPr>
            <w:tcW w:w="1984" w:type="dxa"/>
            <w:shd w:val="clear" w:color="auto" w:fill="FFF2CC" w:themeFill="accent4" w:themeFillTint="33"/>
            <w:noWrap/>
            <w:vAlign w:val="center"/>
            <w:hideMark/>
          </w:tcPr>
          <w:p w14:paraId="024D0A32" w14:textId="33409D65"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51.64%</w:t>
            </w:r>
          </w:p>
        </w:tc>
      </w:tr>
      <w:tr w:rsidR="00DE5EEB" w:rsidRPr="000C5CA4" w14:paraId="5C0AAE34" w14:textId="77777777" w:rsidTr="00DE5EEB">
        <w:trPr>
          <w:trHeight w:val="288"/>
        </w:trPr>
        <w:tc>
          <w:tcPr>
            <w:tcW w:w="421" w:type="dxa"/>
            <w:shd w:val="clear" w:color="auto" w:fill="B4C6E7" w:themeFill="accent5" w:themeFillTint="66"/>
            <w:noWrap/>
            <w:vAlign w:val="center"/>
            <w:hideMark/>
          </w:tcPr>
          <w:p w14:paraId="139203EC"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H</w:t>
            </w:r>
          </w:p>
        </w:tc>
        <w:tc>
          <w:tcPr>
            <w:tcW w:w="4677" w:type="dxa"/>
            <w:shd w:val="clear" w:color="auto" w:fill="B4C6E7" w:themeFill="accent5" w:themeFillTint="66"/>
            <w:vAlign w:val="center"/>
            <w:hideMark/>
          </w:tcPr>
          <w:p w14:paraId="63AD31A6"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Prijevoz i skladištenje</w:t>
            </w:r>
          </w:p>
        </w:tc>
        <w:tc>
          <w:tcPr>
            <w:tcW w:w="1985" w:type="dxa"/>
            <w:shd w:val="clear" w:color="auto" w:fill="D9E2F3" w:themeFill="accent5" w:themeFillTint="33"/>
            <w:noWrap/>
            <w:vAlign w:val="center"/>
            <w:hideMark/>
          </w:tcPr>
          <w:p w14:paraId="0656A0FF" w14:textId="2E0ABE97"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5.44%</w:t>
            </w:r>
          </w:p>
        </w:tc>
        <w:tc>
          <w:tcPr>
            <w:tcW w:w="1984" w:type="dxa"/>
            <w:shd w:val="clear" w:color="auto" w:fill="FFF2CC" w:themeFill="accent4" w:themeFillTint="33"/>
            <w:noWrap/>
            <w:vAlign w:val="center"/>
            <w:hideMark/>
          </w:tcPr>
          <w:p w14:paraId="446B1B7F" w14:textId="11EA5DB1"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11.88%</w:t>
            </w:r>
          </w:p>
        </w:tc>
      </w:tr>
      <w:tr w:rsidR="00DE5EEB" w:rsidRPr="000C5CA4" w14:paraId="3A6098C8" w14:textId="77777777" w:rsidTr="00DE5EEB">
        <w:trPr>
          <w:trHeight w:val="528"/>
        </w:trPr>
        <w:tc>
          <w:tcPr>
            <w:tcW w:w="421" w:type="dxa"/>
            <w:shd w:val="clear" w:color="auto" w:fill="B4C6E7" w:themeFill="accent5" w:themeFillTint="66"/>
            <w:noWrap/>
            <w:vAlign w:val="center"/>
            <w:hideMark/>
          </w:tcPr>
          <w:p w14:paraId="20C9DD48"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I</w:t>
            </w:r>
          </w:p>
        </w:tc>
        <w:tc>
          <w:tcPr>
            <w:tcW w:w="4677" w:type="dxa"/>
            <w:shd w:val="clear" w:color="auto" w:fill="B4C6E7" w:themeFill="accent5" w:themeFillTint="66"/>
            <w:vAlign w:val="center"/>
            <w:hideMark/>
          </w:tcPr>
          <w:p w14:paraId="7B3AC534" w14:textId="2006A6F5"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Djelatnosti pružanja smještaja te pripreme i usluživanja hrane (hotelijerstvo i ugostiteljstvo)</w:t>
            </w:r>
          </w:p>
        </w:tc>
        <w:tc>
          <w:tcPr>
            <w:tcW w:w="1985" w:type="dxa"/>
            <w:shd w:val="clear" w:color="auto" w:fill="D9E2F3" w:themeFill="accent5" w:themeFillTint="33"/>
            <w:noWrap/>
            <w:vAlign w:val="center"/>
            <w:hideMark/>
          </w:tcPr>
          <w:p w14:paraId="18AC68FC" w14:textId="48273FF6"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3.67%</w:t>
            </w:r>
          </w:p>
        </w:tc>
        <w:tc>
          <w:tcPr>
            <w:tcW w:w="1984" w:type="dxa"/>
            <w:shd w:val="clear" w:color="auto" w:fill="FFF2CC" w:themeFill="accent4" w:themeFillTint="33"/>
            <w:noWrap/>
            <w:vAlign w:val="center"/>
            <w:hideMark/>
          </w:tcPr>
          <w:p w14:paraId="29444039" w14:textId="7F037086"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52.55%</w:t>
            </w:r>
          </w:p>
        </w:tc>
      </w:tr>
      <w:tr w:rsidR="00DE5EEB" w:rsidRPr="000C5CA4" w14:paraId="5E1C124D" w14:textId="77777777" w:rsidTr="00DE5EEB">
        <w:trPr>
          <w:trHeight w:val="288"/>
        </w:trPr>
        <w:tc>
          <w:tcPr>
            <w:tcW w:w="421" w:type="dxa"/>
            <w:shd w:val="clear" w:color="auto" w:fill="B4C6E7" w:themeFill="accent5" w:themeFillTint="66"/>
            <w:noWrap/>
            <w:vAlign w:val="center"/>
            <w:hideMark/>
          </w:tcPr>
          <w:p w14:paraId="26D214D6"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J</w:t>
            </w:r>
          </w:p>
        </w:tc>
        <w:tc>
          <w:tcPr>
            <w:tcW w:w="4677" w:type="dxa"/>
            <w:shd w:val="clear" w:color="auto" w:fill="B4C6E7" w:themeFill="accent5" w:themeFillTint="66"/>
            <w:vAlign w:val="center"/>
            <w:hideMark/>
          </w:tcPr>
          <w:p w14:paraId="647629F6"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Informacije i komunikacije</w:t>
            </w:r>
          </w:p>
        </w:tc>
        <w:tc>
          <w:tcPr>
            <w:tcW w:w="1985" w:type="dxa"/>
            <w:shd w:val="clear" w:color="auto" w:fill="D9E2F3" w:themeFill="accent5" w:themeFillTint="33"/>
            <w:noWrap/>
            <w:vAlign w:val="center"/>
            <w:hideMark/>
          </w:tcPr>
          <w:p w14:paraId="2434A281" w14:textId="347C4D9B"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2.62%</w:t>
            </w:r>
          </w:p>
        </w:tc>
        <w:tc>
          <w:tcPr>
            <w:tcW w:w="1984" w:type="dxa"/>
            <w:shd w:val="clear" w:color="auto" w:fill="FFF2CC" w:themeFill="accent4" w:themeFillTint="33"/>
            <w:noWrap/>
            <w:vAlign w:val="center"/>
            <w:hideMark/>
          </w:tcPr>
          <w:p w14:paraId="124AE411" w14:textId="3DD3F0C8"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35.02%</w:t>
            </w:r>
          </w:p>
        </w:tc>
      </w:tr>
      <w:tr w:rsidR="00DE5EEB" w:rsidRPr="000C5CA4" w14:paraId="35608030" w14:textId="77777777" w:rsidTr="00DE5EEB">
        <w:trPr>
          <w:trHeight w:val="288"/>
        </w:trPr>
        <w:tc>
          <w:tcPr>
            <w:tcW w:w="421" w:type="dxa"/>
            <w:shd w:val="clear" w:color="auto" w:fill="B4C6E7" w:themeFill="accent5" w:themeFillTint="66"/>
            <w:noWrap/>
            <w:vAlign w:val="center"/>
            <w:hideMark/>
          </w:tcPr>
          <w:p w14:paraId="75F701AA"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K</w:t>
            </w:r>
          </w:p>
        </w:tc>
        <w:tc>
          <w:tcPr>
            <w:tcW w:w="4677" w:type="dxa"/>
            <w:shd w:val="clear" w:color="auto" w:fill="B4C6E7" w:themeFill="accent5" w:themeFillTint="66"/>
            <w:vAlign w:val="center"/>
            <w:hideMark/>
          </w:tcPr>
          <w:p w14:paraId="2007D3F7"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Finansijske djelatnosti i djelatnosti osiguranja</w:t>
            </w:r>
          </w:p>
        </w:tc>
        <w:tc>
          <w:tcPr>
            <w:tcW w:w="1985" w:type="dxa"/>
            <w:shd w:val="clear" w:color="auto" w:fill="D9E2F3" w:themeFill="accent5" w:themeFillTint="33"/>
            <w:noWrap/>
            <w:vAlign w:val="center"/>
            <w:hideMark/>
          </w:tcPr>
          <w:p w14:paraId="675B7249" w14:textId="6799FD82"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1.60%</w:t>
            </w:r>
          </w:p>
        </w:tc>
        <w:tc>
          <w:tcPr>
            <w:tcW w:w="1984" w:type="dxa"/>
            <w:shd w:val="clear" w:color="auto" w:fill="FFF2CC" w:themeFill="accent4" w:themeFillTint="33"/>
            <w:noWrap/>
            <w:vAlign w:val="center"/>
            <w:hideMark/>
          </w:tcPr>
          <w:p w14:paraId="3A3C4644" w14:textId="0D5F00E0"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65.33%</w:t>
            </w:r>
          </w:p>
        </w:tc>
      </w:tr>
      <w:tr w:rsidR="00DE5EEB" w:rsidRPr="000C5CA4" w14:paraId="326A4A39" w14:textId="77777777" w:rsidTr="00DE5EEB">
        <w:trPr>
          <w:trHeight w:val="288"/>
        </w:trPr>
        <w:tc>
          <w:tcPr>
            <w:tcW w:w="421" w:type="dxa"/>
            <w:shd w:val="clear" w:color="auto" w:fill="B4C6E7" w:themeFill="accent5" w:themeFillTint="66"/>
            <w:noWrap/>
            <w:vAlign w:val="center"/>
            <w:hideMark/>
          </w:tcPr>
          <w:p w14:paraId="522270FA"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lastRenderedPageBreak/>
              <w:t>L</w:t>
            </w:r>
          </w:p>
        </w:tc>
        <w:tc>
          <w:tcPr>
            <w:tcW w:w="4677" w:type="dxa"/>
            <w:shd w:val="clear" w:color="auto" w:fill="B4C6E7" w:themeFill="accent5" w:themeFillTint="66"/>
            <w:vAlign w:val="center"/>
            <w:hideMark/>
          </w:tcPr>
          <w:p w14:paraId="0E5501DD"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Poslovanje nekretninama</w:t>
            </w:r>
          </w:p>
        </w:tc>
        <w:tc>
          <w:tcPr>
            <w:tcW w:w="1985" w:type="dxa"/>
            <w:shd w:val="clear" w:color="auto" w:fill="D9E2F3" w:themeFill="accent5" w:themeFillTint="33"/>
            <w:noWrap/>
            <w:vAlign w:val="center"/>
            <w:hideMark/>
          </w:tcPr>
          <w:p w14:paraId="6E3522FF" w14:textId="7EA4EE98"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0.15%</w:t>
            </w:r>
          </w:p>
        </w:tc>
        <w:tc>
          <w:tcPr>
            <w:tcW w:w="1984" w:type="dxa"/>
            <w:shd w:val="clear" w:color="auto" w:fill="FFF2CC" w:themeFill="accent4" w:themeFillTint="33"/>
            <w:noWrap/>
            <w:vAlign w:val="center"/>
            <w:hideMark/>
          </w:tcPr>
          <w:p w14:paraId="078C74D2" w14:textId="091AE9BF"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46.71%</w:t>
            </w:r>
          </w:p>
        </w:tc>
      </w:tr>
      <w:tr w:rsidR="00DE5EEB" w:rsidRPr="000C5CA4" w14:paraId="2A046662" w14:textId="77777777" w:rsidTr="00DE5EEB">
        <w:trPr>
          <w:trHeight w:val="288"/>
        </w:trPr>
        <w:tc>
          <w:tcPr>
            <w:tcW w:w="421" w:type="dxa"/>
            <w:shd w:val="clear" w:color="auto" w:fill="B4C6E7" w:themeFill="accent5" w:themeFillTint="66"/>
            <w:noWrap/>
            <w:vAlign w:val="center"/>
            <w:hideMark/>
          </w:tcPr>
          <w:p w14:paraId="32AE2D72"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M</w:t>
            </w:r>
          </w:p>
        </w:tc>
        <w:tc>
          <w:tcPr>
            <w:tcW w:w="4677" w:type="dxa"/>
            <w:shd w:val="clear" w:color="auto" w:fill="B4C6E7" w:themeFill="accent5" w:themeFillTint="66"/>
            <w:vAlign w:val="center"/>
            <w:hideMark/>
          </w:tcPr>
          <w:p w14:paraId="5F1245DB"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Stručne, naučne i tehničke djelatnosti</w:t>
            </w:r>
          </w:p>
        </w:tc>
        <w:tc>
          <w:tcPr>
            <w:tcW w:w="1985" w:type="dxa"/>
            <w:shd w:val="clear" w:color="auto" w:fill="D9E2F3" w:themeFill="accent5" w:themeFillTint="33"/>
            <w:noWrap/>
            <w:vAlign w:val="center"/>
            <w:hideMark/>
          </w:tcPr>
          <w:p w14:paraId="5B0EBB6C" w14:textId="749CE0CF"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2.10%</w:t>
            </w:r>
          </w:p>
        </w:tc>
        <w:tc>
          <w:tcPr>
            <w:tcW w:w="1984" w:type="dxa"/>
            <w:shd w:val="clear" w:color="auto" w:fill="FFF2CC" w:themeFill="accent4" w:themeFillTint="33"/>
            <w:noWrap/>
            <w:vAlign w:val="center"/>
            <w:hideMark/>
          </w:tcPr>
          <w:p w14:paraId="5F390868" w14:textId="0435C8A7"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45.86%</w:t>
            </w:r>
          </w:p>
        </w:tc>
      </w:tr>
      <w:tr w:rsidR="00DE5EEB" w:rsidRPr="000C5CA4" w14:paraId="177D53C7" w14:textId="77777777" w:rsidTr="00DE5EEB">
        <w:trPr>
          <w:trHeight w:val="288"/>
        </w:trPr>
        <w:tc>
          <w:tcPr>
            <w:tcW w:w="421" w:type="dxa"/>
            <w:shd w:val="clear" w:color="auto" w:fill="B4C6E7" w:themeFill="accent5" w:themeFillTint="66"/>
            <w:noWrap/>
            <w:vAlign w:val="center"/>
            <w:hideMark/>
          </w:tcPr>
          <w:p w14:paraId="05D886F6"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N</w:t>
            </w:r>
          </w:p>
        </w:tc>
        <w:tc>
          <w:tcPr>
            <w:tcW w:w="4677" w:type="dxa"/>
            <w:shd w:val="clear" w:color="auto" w:fill="B4C6E7" w:themeFill="accent5" w:themeFillTint="66"/>
            <w:vAlign w:val="center"/>
            <w:hideMark/>
          </w:tcPr>
          <w:p w14:paraId="5EBE382C"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Administrativne i pomoćne uslužne djelatnosti</w:t>
            </w:r>
          </w:p>
        </w:tc>
        <w:tc>
          <w:tcPr>
            <w:tcW w:w="1985" w:type="dxa"/>
            <w:shd w:val="clear" w:color="auto" w:fill="D9E2F3" w:themeFill="accent5" w:themeFillTint="33"/>
            <w:noWrap/>
            <w:vAlign w:val="center"/>
            <w:hideMark/>
          </w:tcPr>
          <w:p w14:paraId="427DE1A7" w14:textId="4D1C8D6A"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1.92%</w:t>
            </w:r>
          </w:p>
        </w:tc>
        <w:tc>
          <w:tcPr>
            <w:tcW w:w="1984" w:type="dxa"/>
            <w:shd w:val="clear" w:color="auto" w:fill="FFF2CC" w:themeFill="accent4" w:themeFillTint="33"/>
            <w:noWrap/>
            <w:vAlign w:val="center"/>
            <w:hideMark/>
          </w:tcPr>
          <w:p w14:paraId="72468C32" w14:textId="0A918D89"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39.47%</w:t>
            </w:r>
          </w:p>
        </w:tc>
      </w:tr>
      <w:tr w:rsidR="00DE5EEB" w:rsidRPr="000C5CA4" w14:paraId="18237DA2" w14:textId="77777777" w:rsidTr="00DE5EEB">
        <w:trPr>
          <w:trHeight w:val="288"/>
        </w:trPr>
        <w:tc>
          <w:tcPr>
            <w:tcW w:w="421" w:type="dxa"/>
            <w:shd w:val="clear" w:color="auto" w:fill="B4C6E7" w:themeFill="accent5" w:themeFillTint="66"/>
            <w:noWrap/>
            <w:vAlign w:val="center"/>
            <w:hideMark/>
          </w:tcPr>
          <w:p w14:paraId="3E03A547"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O</w:t>
            </w:r>
          </w:p>
        </w:tc>
        <w:tc>
          <w:tcPr>
            <w:tcW w:w="4677" w:type="dxa"/>
            <w:shd w:val="clear" w:color="auto" w:fill="B4C6E7" w:themeFill="accent5" w:themeFillTint="66"/>
            <w:vAlign w:val="center"/>
            <w:hideMark/>
          </w:tcPr>
          <w:p w14:paraId="2CE8602C"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Javna uprava i odbrana; obavezno socijalno osiguranje</w:t>
            </w:r>
          </w:p>
        </w:tc>
        <w:tc>
          <w:tcPr>
            <w:tcW w:w="1985" w:type="dxa"/>
            <w:shd w:val="clear" w:color="auto" w:fill="D9E2F3" w:themeFill="accent5" w:themeFillTint="33"/>
            <w:noWrap/>
            <w:vAlign w:val="center"/>
            <w:hideMark/>
          </w:tcPr>
          <w:p w14:paraId="69BE477B" w14:textId="57D8973E"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5.29%</w:t>
            </w:r>
          </w:p>
        </w:tc>
        <w:tc>
          <w:tcPr>
            <w:tcW w:w="1984" w:type="dxa"/>
            <w:shd w:val="clear" w:color="auto" w:fill="FFF2CC" w:themeFill="accent4" w:themeFillTint="33"/>
            <w:noWrap/>
            <w:vAlign w:val="center"/>
            <w:hideMark/>
          </w:tcPr>
          <w:p w14:paraId="43C92F2C" w14:textId="44244EAC"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43.51%</w:t>
            </w:r>
          </w:p>
        </w:tc>
      </w:tr>
      <w:tr w:rsidR="00DE5EEB" w:rsidRPr="000C5CA4" w14:paraId="7FD9C953" w14:textId="77777777" w:rsidTr="00DE5EEB">
        <w:trPr>
          <w:trHeight w:val="288"/>
        </w:trPr>
        <w:tc>
          <w:tcPr>
            <w:tcW w:w="421" w:type="dxa"/>
            <w:shd w:val="clear" w:color="auto" w:fill="B4C6E7" w:themeFill="accent5" w:themeFillTint="66"/>
            <w:noWrap/>
            <w:vAlign w:val="center"/>
            <w:hideMark/>
          </w:tcPr>
          <w:p w14:paraId="249770BE"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P</w:t>
            </w:r>
          </w:p>
        </w:tc>
        <w:tc>
          <w:tcPr>
            <w:tcW w:w="4677" w:type="dxa"/>
            <w:shd w:val="clear" w:color="auto" w:fill="B4C6E7" w:themeFill="accent5" w:themeFillTint="66"/>
            <w:vAlign w:val="center"/>
            <w:hideMark/>
          </w:tcPr>
          <w:p w14:paraId="60CCE809"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Obrazovanje</w:t>
            </w:r>
          </w:p>
        </w:tc>
        <w:tc>
          <w:tcPr>
            <w:tcW w:w="1985" w:type="dxa"/>
            <w:shd w:val="clear" w:color="auto" w:fill="D9E2F3" w:themeFill="accent5" w:themeFillTint="33"/>
            <w:noWrap/>
            <w:vAlign w:val="center"/>
            <w:hideMark/>
          </w:tcPr>
          <w:p w14:paraId="2FEE9842" w14:textId="36B32066" w:rsidR="00DE5EEB" w:rsidRPr="000C5CA4" w:rsidRDefault="00DE5EEB" w:rsidP="00DE5EEB">
            <w:pPr>
              <w:widowControl/>
              <w:tabs>
                <w:tab w:val="clear" w:pos="5103"/>
              </w:tabs>
              <w:autoSpaceDE/>
              <w:autoSpaceDN/>
              <w:spacing w:line="240" w:lineRule="auto"/>
              <w:ind w:right="0"/>
              <w:jc w:val="center"/>
              <w:rPr>
                <w:rFonts w:eastAsia="Times New Roman" w:cs="Calibri"/>
                <w:b/>
                <w:color w:val="000000"/>
                <w:sz w:val="18"/>
                <w:szCs w:val="18"/>
                <w:lang w:eastAsia="bs-Latn-BA"/>
              </w:rPr>
            </w:pPr>
            <w:r w:rsidRPr="000C5CA4">
              <w:rPr>
                <w:rFonts w:cs="Calibri"/>
                <w:b/>
                <w:color w:val="000000"/>
                <w:sz w:val="18"/>
                <w:szCs w:val="20"/>
              </w:rPr>
              <w:t>8.38%</w:t>
            </w:r>
          </w:p>
        </w:tc>
        <w:tc>
          <w:tcPr>
            <w:tcW w:w="1984" w:type="dxa"/>
            <w:shd w:val="clear" w:color="auto" w:fill="FFF2CC" w:themeFill="accent4" w:themeFillTint="33"/>
            <w:noWrap/>
            <w:vAlign w:val="center"/>
            <w:hideMark/>
          </w:tcPr>
          <w:p w14:paraId="6F53E089" w14:textId="320E047F"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68.10%</w:t>
            </w:r>
          </w:p>
        </w:tc>
      </w:tr>
      <w:tr w:rsidR="00DE5EEB" w:rsidRPr="000C5CA4" w14:paraId="09DDACBC" w14:textId="77777777" w:rsidTr="00DE5EEB">
        <w:trPr>
          <w:trHeight w:val="288"/>
        </w:trPr>
        <w:tc>
          <w:tcPr>
            <w:tcW w:w="421" w:type="dxa"/>
            <w:shd w:val="clear" w:color="auto" w:fill="B4C6E7" w:themeFill="accent5" w:themeFillTint="66"/>
            <w:noWrap/>
            <w:vAlign w:val="center"/>
            <w:hideMark/>
          </w:tcPr>
          <w:p w14:paraId="610D622C"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Q</w:t>
            </w:r>
          </w:p>
        </w:tc>
        <w:tc>
          <w:tcPr>
            <w:tcW w:w="4677" w:type="dxa"/>
            <w:shd w:val="clear" w:color="auto" w:fill="B4C6E7" w:themeFill="accent5" w:themeFillTint="66"/>
            <w:vAlign w:val="center"/>
            <w:hideMark/>
          </w:tcPr>
          <w:p w14:paraId="597C16E9"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Djelatnosti zdravstvene i socijalne zaštite</w:t>
            </w:r>
          </w:p>
        </w:tc>
        <w:tc>
          <w:tcPr>
            <w:tcW w:w="1985" w:type="dxa"/>
            <w:shd w:val="clear" w:color="auto" w:fill="D9E2F3" w:themeFill="accent5" w:themeFillTint="33"/>
            <w:noWrap/>
            <w:vAlign w:val="center"/>
            <w:hideMark/>
          </w:tcPr>
          <w:p w14:paraId="0887DC30" w14:textId="4F42761C" w:rsidR="00DE5EEB" w:rsidRPr="000C5CA4" w:rsidRDefault="00DE5EEB" w:rsidP="00DE5EEB">
            <w:pPr>
              <w:widowControl/>
              <w:tabs>
                <w:tab w:val="clear" w:pos="5103"/>
              </w:tabs>
              <w:autoSpaceDE/>
              <w:autoSpaceDN/>
              <w:spacing w:line="240" w:lineRule="auto"/>
              <w:ind w:right="0"/>
              <w:jc w:val="center"/>
              <w:rPr>
                <w:rFonts w:eastAsia="Times New Roman" w:cs="Calibri"/>
                <w:b/>
                <w:color w:val="000000"/>
                <w:sz w:val="18"/>
                <w:szCs w:val="18"/>
                <w:lang w:eastAsia="bs-Latn-BA"/>
              </w:rPr>
            </w:pPr>
            <w:r w:rsidRPr="000C5CA4">
              <w:rPr>
                <w:rFonts w:cs="Calibri"/>
                <w:b/>
                <w:color w:val="000000"/>
                <w:sz w:val="18"/>
                <w:szCs w:val="20"/>
              </w:rPr>
              <w:t>7.38%</w:t>
            </w:r>
          </w:p>
        </w:tc>
        <w:tc>
          <w:tcPr>
            <w:tcW w:w="1984" w:type="dxa"/>
            <w:shd w:val="clear" w:color="auto" w:fill="FFF2CC" w:themeFill="accent4" w:themeFillTint="33"/>
            <w:noWrap/>
            <w:vAlign w:val="center"/>
            <w:hideMark/>
          </w:tcPr>
          <w:p w14:paraId="5F16D45C" w14:textId="4E9B2387"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69.20%</w:t>
            </w:r>
          </w:p>
        </w:tc>
      </w:tr>
      <w:tr w:rsidR="00DE5EEB" w:rsidRPr="000C5CA4" w14:paraId="1E181634" w14:textId="77777777" w:rsidTr="00DE5EEB">
        <w:trPr>
          <w:trHeight w:val="288"/>
        </w:trPr>
        <w:tc>
          <w:tcPr>
            <w:tcW w:w="421" w:type="dxa"/>
            <w:shd w:val="clear" w:color="auto" w:fill="B4C6E7" w:themeFill="accent5" w:themeFillTint="66"/>
            <w:noWrap/>
            <w:vAlign w:val="center"/>
            <w:hideMark/>
          </w:tcPr>
          <w:p w14:paraId="18385D93"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R</w:t>
            </w:r>
          </w:p>
        </w:tc>
        <w:tc>
          <w:tcPr>
            <w:tcW w:w="4677" w:type="dxa"/>
            <w:shd w:val="clear" w:color="auto" w:fill="B4C6E7" w:themeFill="accent5" w:themeFillTint="66"/>
            <w:vAlign w:val="center"/>
            <w:hideMark/>
          </w:tcPr>
          <w:p w14:paraId="456A897F"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Umjetnost, zabava i rekreacija</w:t>
            </w:r>
          </w:p>
        </w:tc>
        <w:tc>
          <w:tcPr>
            <w:tcW w:w="1985" w:type="dxa"/>
            <w:shd w:val="clear" w:color="auto" w:fill="D9E2F3" w:themeFill="accent5" w:themeFillTint="33"/>
            <w:noWrap/>
            <w:vAlign w:val="center"/>
            <w:hideMark/>
          </w:tcPr>
          <w:p w14:paraId="2329B6B6" w14:textId="3E8DFABA"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1.51%</w:t>
            </w:r>
          </w:p>
        </w:tc>
        <w:tc>
          <w:tcPr>
            <w:tcW w:w="1984" w:type="dxa"/>
            <w:shd w:val="clear" w:color="auto" w:fill="FFF2CC" w:themeFill="accent4" w:themeFillTint="33"/>
            <w:noWrap/>
            <w:vAlign w:val="center"/>
            <w:hideMark/>
          </w:tcPr>
          <w:p w14:paraId="12533B56" w14:textId="7B5A5671"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63.96%</w:t>
            </w:r>
          </w:p>
        </w:tc>
      </w:tr>
      <w:tr w:rsidR="00DE5EEB" w:rsidRPr="000C5CA4" w14:paraId="30BDDFC4" w14:textId="77777777" w:rsidTr="00DE5EEB">
        <w:trPr>
          <w:trHeight w:val="288"/>
        </w:trPr>
        <w:tc>
          <w:tcPr>
            <w:tcW w:w="421" w:type="dxa"/>
            <w:shd w:val="clear" w:color="auto" w:fill="B4C6E7" w:themeFill="accent5" w:themeFillTint="66"/>
            <w:noWrap/>
            <w:vAlign w:val="center"/>
            <w:hideMark/>
          </w:tcPr>
          <w:p w14:paraId="1D189911" w14:textId="77777777" w:rsidR="00DE5EEB" w:rsidRPr="000C5CA4" w:rsidRDefault="00DE5EEB" w:rsidP="00DE5EEB">
            <w:pPr>
              <w:widowControl/>
              <w:tabs>
                <w:tab w:val="clear" w:pos="5103"/>
              </w:tabs>
              <w:autoSpaceDE/>
              <w:autoSpaceDN/>
              <w:spacing w:line="240" w:lineRule="auto"/>
              <w:ind w:right="0"/>
              <w:jc w:val="left"/>
              <w:rPr>
                <w:rFonts w:eastAsia="Times New Roman" w:cs="Calibri"/>
                <w:b/>
                <w:bCs/>
                <w:sz w:val="18"/>
                <w:szCs w:val="18"/>
                <w:lang w:eastAsia="bs-Latn-BA"/>
              </w:rPr>
            </w:pPr>
            <w:r w:rsidRPr="000C5CA4">
              <w:rPr>
                <w:rFonts w:eastAsia="Times New Roman" w:cs="Calibri"/>
                <w:b/>
                <w:bCs/>
                <w:sz w:val="18"/>
                <w:szCs w:val="18"/>
                <w:lang w:eastAsia="bs-Latn-BA"/>
              </w:rPr>
              <w:t>S</w:t>
            </w:r>
          </w:p>
        </w:tc>
        <w:tc>
          <w:tcPr>
            <w:tcW w:w="4677" w:type="dxa"/>
            <w:shd w:val="clear" w:color="auto" w:fill="B4C6E7" w:themeFill="accent5" w:themeFillTint="66"/>
            <w:vAlign w:val="center"/>
            <w:hideMark/>
          </w:tcPr>
          <w:p w14:paraId="53B4E24A" w14:textId="77777777" w:rsidR="00DE5EEB" w:rsidRPr="000C5CA4" w:rsidRDefault="00DE5EEB" w:rsidP="00DE5EEB">
            <w:pPr>
              <w:widowControl/>
              <w:tabs>
                <w:tab w:val="clear" w:pos="5103"/>
              </w:tabs>
              <w:autoSpaceDE/>
              <w:autoSpaceDN/>
              <w:spacing w:line="240" w:lineRule="auto"/>
              <w:ind w:right="0"/>
              <w:jc w:val="left"/>
              <w:rPr>
                <w:rFonts w:eastAsia="Times New Roman" w:cs="Calibri"/>
                <w:bCs/>
                <w:sz w:val="18"/>
                <w:szCs w:val="18"/>
                <w:lang w:eastAsia="bs-Latn-BA"/>
              </w:rPr>
            </w:pPr>
            <w:r w:rsidRPr="000C5CA4">
              <w:rPr>
                <w:rFonts w:eastAsia="Times New Roman" w:cs="Calibri"/>
                <w:bCs/>
                <w:sz w:val="18"/>
                <w:szCs w:val="18"/>
                <w:lang w:eastAsia="bs-Latn-BA"/>
              </w:rPr>
              <w:t>Ostale uslužne djelatnosti</w:t>
            </w:r>
          </w:p>
        </w:tc>
        <w:tc>
          <w:tcPr>
            <w:tcW w:w="1985" w:type="dxa"/>
            <w:shd w:val="clear" w:color="auto" w:fill="D9E2F3" w:themeFill="accent5" w:themeFillTint="33"/>
            <w:noWrap/>
            <w:vAlign w:val="center"/>
            <w:hideMark/>
          </w:tcPr>
          <w:p w14:paraId="5D5A04CD" w14:textId="186F2FE2"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1.81%</w:t>
            </w:r>
          </w:p>
        </w:tc>
        <w:tc>
          <w:tcPr>
            <w:tcW w:w="1984" w:type="dxa"/>
            <w:shd w:val="clear" w:color="auto" w:fill="FFF2CC" w:themeFill="accent4" w:themeFillTint="33"/>
            <w:noWrap/>
            <w:vAlign w:val="center"/>
            <w:hideMark/>
          </w:tcPr>
          <w:p w14:paraId="61771718" w14:textId="3B3C2BCF" w:rsidR="00DE5EEB" w:rsidRPr="000C5CA4" w:rsidRDefault="00DE5EEB" w:rsidP="00DE5EEB">
            <w:pPr>
              <w:widowControl/>
              <w:tabs>
                <w:tab w:val="clear" w:pos="5103"/>
              </w:tabs>
              <w:autoSpaceDE/>
              <w:autoSpaceDN/>
              <w:spacing w:line="240" w:lineRule="auto"/>
              <w:ind w:right="0"/>
              <w:jc w:val="center"/>
              <w:rPr>
                <w:rFonts w:eastAsia="Times New Roman" w:cs="Calibri"/>
                <w:color w:val="000000"/>
                <w:sz w:val="18"/>
                <w:szCs w:val="18"/>
                <w:lang w:eastAsia="bs-Latn-BA"/>
              </w:rPr>
            </w:pPr>
            <w:r w:rsidRPr="000C5CA4">
              <w:rPr>
                <w:rFonts w:cs="Calibri"/>
                <w:color w:val="000000"/>
                <w:sz w:val="18"/>
                <w:szCs w:val="20"/>
              </w:rPr>
              <w:t>57.56%</w:t>
            </w:r>
          </w:p>
        </w:tc>
      </w:tr>
    </w:tbl>
    <w:p w14:paraId="27C4FF44" w14:textId="641EF94E" w:rsidR="0069004A" w:rsidRPr="000C5CA4" w:rsidRDefault="00DE5EEB" w:rsidP="00DE5EEB">
      <w:pPr>
        <w:spacing w:line="276" w:lineRule="auto"/>
        <w:jc w:val="center"/>
        <w:rPr>
          <w:sz w:val="18"/>
          <w:szCs w:val="20"/>
        </w:rPr>
      </w:pPr>
      <w:r w:rsidRPr="000C5CA4">
        <w:rPr>
          <w:rFonts w:eastAsia="Times New Roman"/>
          <w:sz w:val="22"/>
          <w:szCs w:val="20"/>
        </w:rPr>
        <w:t>Izvor:</w:t>
      </w:r>
      <w:r w:rsidRPr="000C5CA4">
        <w:rPr>
          <w:rFonts w:eastAsia="Times New Roman"/>
          <w:sz w:val="22"/>
        </w:rPr>
        <w:t xml:space="preserve"> </w:t>
      </w:r>
      <w:r w:rsidRPr="000C5CA4">
        <w:rPr>
          <w:sz w:val="22"/>
        </w:rPr>
        <w:t>Federalni zavod za statistiku, Zaposlenost, nezaposlenost i plaće u Federaciji BiH po kantonima, 2024.</w:t>
      </w:r>
    </w:p>
    <w:p w14:paraId="134F0F5D" w14:textId="77777777" w:rsidR="00DE5EEB" w:rsidRPr="000C5CA4" w:rsidRDefault="00DE5EEB" w:rsidP="0019594A">
      <w:pPr>
        <w:spacing w:line="276" w:lineRule="auto"/>
        <w:rPr>
          <w:rFonts w:eastAsia="Times New Roman"/>
          <w:sz w:val="22"/>
          <w:szCs w:val="20"/>
        </w:rPr>
      </w:pPr>
    </w:p>
    <w:p w14:paraId="7E156E52" w14:textId="719890BC" w:rsidR="00DE5EEB" w:rsidRPr="000C5CA4" w:rsidRDefault="00DE5EEB" w:rsidP="0019594A">
      <w:pPr>
        <w:spacing w:line="276" w:lineRule="auto"/>
        <w:rPr>
          <w:rFonts w:eastAsia="Times New Roman" w:cs="Calibri"/>
          <w:bCs/>
          <w:sz w:val="22"/>
          <w:lang w:eastAsia="bs-Latn-BA"/>
        </w:rPr>
      </w:pPr>
      <w:r w:rsidRPr="000C5CA4">
        <w:rPr>
          <w:rFonts w:eastAsia="Times New Roman"/>
          <w:sz w:val="22"/>
        </w:rPr>
        <w:t xml:space="preserve">Učešće osoba ženskog spola među zaposlenima u oblastoma </w:t>
      </w:r>
      <w:r w:rsidRPr="000C5CA4">
        <w:rPr>
          <w:rFonts w:eastAsia="Times New Roman" w:cs="Calibri"/>
          <w:bCs/>
          <w:sz w:val="22"/>
          <w:lang w:eastAsia="bs-Latn-BA"/>
        </w:rPr>
        <w:t>Prerađivačke industrije je 35.57%, Trgovina na veliko i na malo; popravak motornih vozila i motocikala 51.64%, Obrazovanja 68.10% i Djelatnosti zdravstvene i socijalne zaštite 69.20%.</w:t>
      </w:r>
    </w:p>
    <w:p w14:paraId="04F56952" w14:textId="77777777" w:rsidR="00DE5EEB" w:rsidRPr="000C5CA4" w:rsidRDefault="00DE5EEB" w:rsidP="0019594A">
      <w:pPr>
        <w:spacing w:line="276" w:lineRule="auto"/>
        <w:rPr>
          <w:rFonts w:eastAsia="Times New Roman"/>
          <w:sz w:val="22"/>
        </w:rPr>
      </w:pPr>
    </w:p>
    <w:p w14:paraId="35423BD6" w14:textId="61BFC82C" w:rsidR="0019594A" w:rsidRPr="000C5CA4" w:rsidRDefault="0019594A" w:rsidP="0019594A">
      <w:pPr>
        <w:spacing w:line="276" w:lineRule="auto"/>
        <w:rPr>
          <w:rFonts w:eastAsia="Times New Roman"/>
          <w:sz w:val="22"/>
          <w:szCs w:val="20"/>
        </w:rPr>
      </w:pPr>
      <w:r w:rsidRPr="000C5CA4">
        <w:rPr>
          <w:rFonts w:eastAsia="Times New Roman"/>
          <w:sz w:val="22"/>
          <w:szCs w:val="20"/>
        </w:rPr>
        <w:t>Prema statističkim podacima JU Službe za zapošljavanje TK, Tuzla na dan 31.12.2024. godine evidentirane su 60.459 nezaposlene osobe, dok u istom periodu prethodne godine 64.493 nezaposlene osobe, što govori da je za 4.034 osoba manje na evidenciji. Od ukupnog broja osoba koje traže zaposlenje, 39.333 su žene.</w:t>
      </w:r>
    </w:p>
    <w:p w14:paraId="75460708" w14:textId="77777777" w:rsidR="000C5CA4" w:rsidRPr="000C5CA4" w:rsidRDefault="000C5CA4" w:rsidP="0019594A">
      <w:pPr>
        <w:spacing w:line="276" w:lineRule="auto"/>
        <w:rPr>
          <w:rFonts w:eastAsia="Times New Roman"/>
          <w:sz w:val="22"/>
          <w:szCs w:val="20"/>
        </w:rPr>
      </w:pPr>
    </w:p>
    <w:p w14:paraId="48FE56E9" w14:textId="77777777" w:rsidR="0019594A" w:rsidRPr="000C5CA4" w:rsidRDefault="0019594A" w:rsidP="0019594A">
      <w:pPr>
        <w:spacing w:line="276" w:lineRule="auto"/>
        <w:rPr>
          <w:rFonts w:eastAsia="Times New Roman"/>
          <w:sz w:val="22"/>
          <w:szCs w:val="20"/>
        </w:rPr>
      </w:pPr>
      <w:r w:rsidRPr="000C5CA4">
        <w:rPr>
          <w:rFonts w:eastAsia="Times New Roman"/>
          <w:sz w:val="22"/>
          <w:szCs w:val="20"/>
        </w:rPr>
        <w:t xml:space="preserve">Učešće žena u strukturi nezaposlenih u 2024. godini u odnosu na 2023. godinu je rastao, a procenat muškaraca padao. U oba slučaja radi se o podacima registrovane nezaposlenosti i teško je donijeti zaključak o uzrocima takvog stanja. Statistički podaci JU Služba za zapošljavanje TK pokazuju da u Tuzlanskom kantonu u 2024. godini procenat nezaposlenih žena je 65,14% dok muškaraca 34,86%. </w:t>
      </w:r>
    </w:p>
    <w:p w14:paraId="0B11A893" w14:textId="77777777" w:rsidR="000C5CA4" w:rsidRPr="000C5CA4" w:rsidRDefault="000C5CA4" w:rsidP="0019594A">
      <w:pPr>
        <w:spacing w:line="276" w:lineRule="auto"/>
        <w:rPr>
          <w:rFonts w:eastAsia="Times New Roman"/>
          <w:sz w:val="22"/>
          <w:szCs w:val="20"/>
        </w:rPr>
      </w:pPr>
    </w:p>
    <w:p w14:paraId="153A5BFA" w14:textId="1A88BEEF" w:rsidR="00742695" w:rsidRPr="000C5CA4" w:rsidRDefault="0019594A" w:rsidP="0019594A">
      <w:pPr>
        <w:spacing w:line="276" w:lineRule="auto"/>
        <w:rPr>
          <w:rFonts w:eastAsia="Times New Roman"/>
          <w:sz w:val="22"/>
          <w:szCs w:val="20"/>
        </w:rPr>
      </w:pPr>
      <w:r w:rsidRPr="000C5CA4">
        <w:rPr>
          <w:rFonts w:eastAsia="Times New Roman"/>
          <w:sz w:val="22"/>
          <w:szCs w:val="20"/>
        </w:rPr>
        <w:t>Aktivnosti JU Službe za zapošljavanje TK u okviru realizacije aktivnih mjera zapošljavanja bile su usmjerene na poticanje poslodavaca da traže radnu snagu.</w:t>
      </w:r>
      <w:r w:rsidR="009F29CA" w:rsidRPr="000C5CA4">
        <w:rPr>
          <w:rFonts w:eastAsia="Times New Roman"/>
          <w:sz w:val="22"/>
          <w:szCs w:val="20"/>
        </w:rPr>
        <w:t xml:space="preserve"> </w:t>
      </w:r>
    </w:p>
    <w:p w14:paraId="31471829" w14:textId="77777777" w:rsidR="000C5CA4" w:rsidRPr="000C5CA4" w:rsidRDefault="000C5CA4" w:rsidP="0019594A">
      <w:pPr>
        <w:spacing w:line="276" w:lineRule="auto"/>
        <w:rPr>
          <w:rFonts w:eastAsia="Times New Roman"/>
          <w:sz w:val="22"/>
          <w:szCs w:val="20"/>
        </w:rPr>
      </w:pPr>
    </w:p>
    <w:p w14:paraId="511A6838" w14:textId="0B81FFAE" w:rsidR="0019594A" w:rsidRPr="000C5CA4" w:rsidRDefault="0019594A" w:rsidP="0019594A">
      <w:pPr>
        <w:spacing w:line="276" w:lineRule="auto"/>
        <w:rPr>
          <w:rFonts w:eastAsia="Times New Roman"/>
          <w:sz w:val="22"/>
          <w:szCs w:val="20"/>
        </w:rPr>
      </w:pPr>
      <w:r w:rsidRPr="000C5CA4">
        <w:rPr>
          <w:rFonts w:eastAsia="Times New Roman"/>
          <w:sz w:val="22"/>
          <w:szCs w:val="20"/>
        </w:rPr>
        <w:t>S druge strane, Služba se usmjerila na pružanje podrške nezaposlenim osobama kroz poboljšanje njihove zapošljivosti i konkurentnosti, sticanje radnog iskustva i potrebnih vještina, sprečavanja dugotrajne nezaposlenosti, kao i poticanje njihovog samozapošljavanja, odnosno kroz razvoj poduzetništva.</w:t>
      </w:r>
    </w:p>
    <w:p w14:paraId="563F13A2" w14:textId="77777777" w:rsidR="000C5CA4" w:rsidRPr="000C5CA4" w:rsidRDefault="000C5CA4" w:rsidP="0019594A">
      <w:pPr>
        <w:spacing w:line="276" w:lineRule="auto"/>
        <w:rPr>
          <w:rFonts w:eastAsia="Times New Roman"/>
          <w:sz w:val="22"/>
          <w:szCs w:val="20"/>
        </w:rPr>
      </w:pPr>
    </w:p>
    <w:p w14:paraId="7ED3FB03" w14:textId="36F8F4B8" w:rsidR="00ED28FE" w:rsidRPr="000C5CA4" w:rsidRDefault="0019594A" w:rsidP="003A315A">
      <w:pPr>
        <w:spacing w:line="276" w:lineRule="auto"/>
        <w:rPr>
          <w:rFonts w:eastAsia="Times New Roman"/>
          <w:sz w:val="22"/>
          <w:szCs w:val="20"/>
        </w:rPr>
      </w:pPr>
      <w:r w:rsidRPr="000C5CA4">
        <w:rPr>
          <w:rFonts w:eastAsia="Times New Roman"/>
          <w:sz w:val="22"/>
          <w:szCs w:val="20"/>
        </w:rPr>
        <w:t>U praksi to znači stvaranje jednakih mogućnosti u pristupu tržištu rada, kroz programe Službe i Federalnog zavoda za zapošljavanje. Sredstva za poticaje aktivnih mjera zapošljavanja su predviđena Finansijskim planom JU Službe za zapošljavanje, te njihova realizacija je sastavni dio, kako kvartalnih tako i godišnjih izvještaja o izvršenju Finansijskog plana.</w:t>
      </w:r>
    </w:p>
    <w:p w14:paraId="45C18ED5" w14:textId="21BD3463" w:rsidR="003A315A" w:rsidRPr="000C5CA4" w:rsidRDefault="003A315A" w:rsidP="003A315A">
      <w:pPr>
        <w:spacing w:line="276" w:lineRule="auto"/>
        <w:jc w:val="center"/>
        <w:rPr>
          <w:rFonts w:eastAsia="Times New Roman"/>
          <w:sz w:val="22"/>
          <w:szCs w:val="20"/>
        </w:rPr>
      </w:pPr>
      <w:r w:rsidRPr="000C5CA4">
        <w:rPr>
          <w:noProof/>
          <w:sz w:val="22"/>
          <w:szCs w:val="20"/>
          <w:lang w:eastAsia="bs-Latn-BA"/>
        </w:rPr>
        <w:lastRenderedPageBreak/>
        <w:drawing>
          <wp:inline distT="0" distB="0" distL="0" distR="0" wp14:anchorId="728F75C2" wp14:editId="2777928F">
            <wp:extent cx="4572000" cy="2070100"/>
            <wp:effectExtent l="0" t="0" r="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030B81" w14:textId="3ED0F06B" w:rsidR="003A315A" w:rsidRPr="000C5CA4" w:rsidRDefault="003A315A" w:rsidP="003A315A">
      <w:pPr>
        <w:jc w:val="center"/>
        <w:rPr>
          <w:sz w:val="22"/>
          <w:szCs w:val="20"/>
        </w:rPr>
      </w:pPr>
      <w:r w:rsidRPr="000C5CA4">
        <w:rPr>
          <w:sz w:val="22"/>
          <w:szCs w:val="20"/>
        </w:rPr>
        <w:t>Izvor: Izvještaj o provođenju Gender akcionog plana Tuzlanskog kantona (GAP TK) za period od 2021. d</w:t>
      </w:r>
      <w:r w:rsidR="002C4211" w:rsidRPr="000C5CA4">
        <w:rPr>
          <w:sz w:val="22"/>
          <w:szCs w:val="20"/>
        </w:rPr>
        <w:t>o 2024. g</w:t>
      </w:r>
      <w:r w:rsidRPr="000C5CA4">
        <w:rPr>
          <w:sz w:val="22"/>
          <w:szCs w:val="20"/>
        </w:rPr>
        <w:t>odine</w:t>
      </w:r>
    </w:p>
    <w:p w14:paraId="320B3C83" w14:textId="3EC52E7F" w:rsidR="002C4211" w:rsidRPr="000C5CA4" w:rsidRDefault="002C4211" w:rsidP="003A315A">
      <w:pPr>
        <w:jc w:val="center"/>
        <w:rPr>
          <w:rFonts w:eastAsia="Times New Roman"/>
          <w:b/>
          <w:bCs/>
          <w:szCs w:val="24"/>
        </w:rPr>
      </w:pPr>
    </w:p>
    <w:tbl>
      <w:tblPr>
        <w:tblStyle w:val="TableGrid"/>
        <w:tblW w:w="9024" w:type="dxa"/>
        <w:tblLook w:val="04A0" w:firstRow="1" w:lastRow="0" w:firstColumn="1" w:lastColumn="0" w:noHBand="0" w:noVBand="1"/>
      </w:tblPr>
      <w:tblGrid>
        <w:gridCol w:w="756"/>
        <w:gridCol w:w="390"/>
        <w:gridCol w:w="787"/>
        <w:gridCol w:w="787"/>
        <w:gridCol w:w="788"/>
        <w:gridCol w:w="788"/>
        <w:gridCol w:w="788"/>
        <w:gridCol w:w="788"/>
        <w:gridCol w:w="788"/>
        <w:gridCol w:w="788"/>
        <w:gridCol w:w="788"/>
        <w:gridCol w:w="788"/>
      </w:tblGrid>
      <w:tr w:rsidR="00D4736B" w:rsidRPr="000C5CA4" w14:paraId="1CB4573C" w14:textId="20C72389" w:rsidTr="00DE5EEB">
        <w:trPr>
          <w:cantSplit/>
          <w:trHeight w:val="751"/>
        </w:trPr>
        <w:tc>
          <w:tcPr>
            <w:tcW w:w="1148" w:type="dxa"/>
            <w:gridSpan w:val="2"/>
            <w:shd w:val="clear" w:color="auto" w:fill="8EAADB" w:themeFill="accent5" w:themeFillTint="99"/>
            <w:vAlign w:val="center"/>
          </w:tcPr>
          <w:p w14:paraId="23B41427" w14:textId="63DECED8" w:rsidR="00D4736B" w:rsidRPr="000C5CA4" w:rsidRDefault="00D4736B" w:rsidP="00D4736B">
            <w:pPr>
              <w:spacing w:line="240" w:lineRule="auto"/>
              <w:jc w:val="center"/>
              <w:rPr>
                <w:rFonts w:eastAsia="Times New Roman" w:cstheme="minorHAnsi"/>
                <w:sz w:val="20"/>
                <w:szCs w:val="20"/>
              </w:rPr>
            </w:pPr>
            <w:r w:rsidRPr="000C5CA4">
              <w:rPr>
                <w:rFonts w:eastAsia="Times New Roman" w:cstheme="minorHAnsi"/>
                <w:sz w:val="20"/>
                <w:szCs w:val="20"/>
              </w:rPr>
              <w:t>Raspon godina</w:t>
            </w:r>
          </w:p>
        </w:tc>
        <w:tc>
          <w:tcPr>
            <w:tcW w:w="0" w:type="auto"/>
            <w:shd w:val="clear" w:color="auto" w:fill="8EAADB" w:themeFill="accent5" w:themeFillTint="99"/>
            <w:textDirection w:val="btLr"/>
            <w:vAlign w:val="center"/>
          </w:tcPr>
          <w:p w14:paraId="4E75E12D" w14:textId="45E8FDBB" w:rsidR="00D4736B" w:rsidRPr="000C5CA4" w:rsidRDefault="00D4736B" w:rsidP="00DE5EEB">
            <w:pPr>
              <w:spacing w:line="240" w:lineRule="auto"/>
              <w:ind w:left="113"/>
              <w:rPr>
                <w:rFonts w:eastAsia="Times New Roman"/>
                <w:sz w:val="20"/>
                <w:szCs w:val="20"/>
              </w:rPr>
            </w:pPr>
            <w:r w:rsidRPr="000C5CA4">
              <w:rPr>
                <w:rFonts w:eastAsia="Times New Roman" w:cstheme="minorHAnsi"/>
                <w:color w:val="000000"/>
                <w:sz w:val="20"/>
                <w:szCs w:val="20"/>
                <w:lang w:val="en-US" w:eastAsia="en-US"/>
              </w:rPr>
              <w:t>15-19</w:t>
            </w:r>
          </w:p>
        </w:tc>
        <w:tc>
          <w:tcPr>
            <w:tcW w:w="0" w:type="auto"/>
            <w:shd w:val="clear" w:color="auto" w:fill="8EAADB" w:themeFill="accent5" w:themeFillTint="99"/>
            <w:textDirection w:val="btLr"/>
            <w:vAlign w:val="center"/>
          </w:tcPr>
          <w:p w14:paraId="1B4C605B" w14:textId="370F4B04" w:rsidR="00D4736B" w:rsidRPr="000C5CA4" w:rsidRDefault="00D4736B" w:rsidP="00DE5EEB">
            <w:pPr>
              <w:spacing w:line="240" w:lineRule="auto"/>
              <w:ind w:left="113"/>
              <w:rPr>
                <w:rFonts w:eastAsia="Times New Roman"/>
                <w:sz w:val="20"/>
                <w:szCs w:val="20"/>
              </w:rPr>
            </w:pPr>
            <w:r w:rsidRPr="000C5CA4">
              <w:rPr>
                <w:rFonts w:eastAsia="Times New Roman" w:cstheme="minorHAnsi"/>
                <w:color w:val="000000"/>
                <w:sz w:val="20"/>
                <w:szCs w:val="20"/>
                <w:lang w:val="en-US" w:eastAsia="en-US"/>
              </w:rPr>
              <w:t>2</w:t>
            </w:r>
            <w:r w:rsidR="00DE5EEB" w:rsidRPr="000C5CA4">
              <w:rPr>
                <w:rFonts w:eastAsia="Times New Roman" w:cstheme="minorHAnsi"/>
                <w:color w:val="000000"/>
                <w:sz w:val="20"/>
                <w:szCs w:val="20"/>
                <w:lang w:val="en-US" w:eastAsia="en-US"/>
              </w:rPr>
              <w:t>0-</w:t>
            </w:r>
            <w:r w:rsidRPr="000C5CA4">
              <w:rPr>
                <w:rFonts w:eastAsia="Times New Roman" w:cstheme="minorHAnsi"/>
                <w:color w:val="000000"/>
                <w:sz w:val="20"/>
                <w:szCs w:val="20"/>
                <w:lang w:val="en-US" w:eastAsia="en-US"/>
              </w:rPr>
              <w:t xml:space="preserve">24 </w:t>
            </w:r>
          </w:p>
        </w:tc>
        <w:tc>
          <w:tcPr>
            <w:tcW w:w="0" w:type="auto"/>
            <w:shd w:val="clear" w:color="auto" w:fill="8EAADB" w:themeFill="accent5" w:themeFillTint="99"/>
            <w:textDirection w:val="btLr"/>
            <w:vAlign w:val="center"/>
          </w:tcPr>
          <w:p w14:paraId="5C1930D7" w14:textId="699B8B56" w:rsidR="00D4736B" w:rsidRPr="000C5CA4" w:rsidRDefault="00D4736B" w:rsidP="00DE5EEB">
            <w:pPr>
              <w:spacing w:line="240" w:lineRule="auto"/>
              <w:ind w:left="113"/>
              <w:rPr>
                <w:rFonts w:eastAsia="Times New Roman"/>
                <w:sz w:val="20"/>
                <w:szCs w:val="20"/>
              </w:rPr>
            </w:pPr>
            <w:r w:rsidRPr="000C5CA4">
              <w:rPr>
                <w:rFonts w:eastAsia="Times New Roman" w:cstheme="minorHAnsi"/>
                <w:color w:val="000000"/>
                <w:sz w:val="20"/>
                <w:szCs w:val="20"/>
                <w:lang w:val="en-US" w:eastAsia="en-US"/>
              </w:rPr>
              <w:t xml:space="preserve">25-29 </w:t>
            </w:r>
          </w:p>
        </w:tc>
        <w:tc>
          <w:tcPr>
            <w:tcW w:w="0" w:type="auto"/>
            <w:shd w:val="clear" w:color="auto" w:fill="8EAADB" w:themeFill="accent5" w:themeFillTint="99"/>
            <w:textDirection w:val="btLr"/>
            <w:vAlign w:val="center"/>
          </w:tcPr>
          <w:p w14:paraId="4D738145" w14:textId="3F4A345B" w:rsidR="00D4736B" w:rsidRPr="000C5CA4" w:rsidRDefault="00D4736B" w:rsidP="00DE5EEB">
            <w:pPr>
              <w:spacing w:line="240" w:lineRule="auto"/>
              <w:ind w:left="113"/>
              <w:rPr>
                <w:rFonts w:eastAsia="Times New Roman"/>
                <w:sz w:val="20"/>
                <w:szCs w:val="20"/>
              </w:rPr>
            </w:pPr>
            <w:r w:rsidRPr="000C5CA4">
              <w:rPr>
                <w:rFonts w:eastAsia="Times New Roman" w:cstheme="minorHAnsi"/>
                <w:color w:val="000000"/>
                <w:sz w:val="20"/>
                <w:szCs w:val="20"/>
                <w:lang w:val="en-US" w:eastAsia="en-US"/>
              </w:rPr>
              <w:t xml:space="preserve">30-34 </w:t>
            </w:r>
          </w:p>
        </w:tc>
        <w:tc>
          <w:tcPr>
            <w:tcW w:w="0" w:type="auto"/>
            <w:shd w:val="clear" w:color="auto" w:fill="8EAADB" w:themeFill="accent5" w:themeFillTint="99"/>
            <w:textDirection w:val="btLr"/>
            <w:vAlign w:val="center"/>
          </w:tcPr>
          <w:p w14:paraId="633313BF" w14:textId="27D4899E" w:rsidR="00D4736B" w:rsidRPr="000C5CA4" w:rsidRDefault="00D4736B" w:rsidP="00DE5EEB">
            <w:pPr>
              <w:spacing w:line="240" w:lineRule="auto"/>
              <w:ind w:left="113"/>
              <w:rPr>
                <w:rFonts w:eastAsia="Times New Roman"/>
                <w:sz w:val="20"/>
                <w:szCs w:val="20"/>
              </w:rPr>
            </w:pPr>
            <w:r w:rsidRPr="000C5CA4">
              <w:rPr>
                <w:rFonts w:eastAsia="Times New Roman" w:cstheme="minorHAnsi"/>
                <w:color w:val="000000"/>
                <w:sz w:val="20"/>
                <w:szCs w:val="20"/>
                <w:lang w:val="en-US" w:eastAsia="en-US"/>
              </w:rPr>
              <w:t xml:space="preserve">35-39 </w:t>
            </w:r>
          </w:p>
        </w:tc>
        <w:tc>
          <w:tcPr>
            <w:tcW w:w="0" w:type="auto"/>
            <w:shd w:val="clear" w:color="auto" w:fill="8EAADB" w:themeFill="accent5" w:themeFillTint="99"/>
            <w:textDirection w:val="btLr"/>
            <w:vAlign w:val="center"/>
          </w:tcPr>
          <w:p w14:paraId="398984DE" w14:textId="4572DF7C" w:rsidR="00D4736B" w:rsidRPr="000C5CA4" w:rsidRDefault="00D4736B" w:rsidP="00DE5EEB">
            <w:pPr>
              <w:spacing w:line="240" w:lineRule="auto"/>
              <w:ind w:left="113"/>
              <w:rPr>
                <w:rFonts w:eastAsia="Times New Roman"/>
                <w:sz w:val="20"/>
                <w:szCs w:val="20"/>
              </w:rPr>
            </w:pPr>
            <w:r w:rsidRPr="000C5CA4">
              <w:rPr>
                <w:rFonts w:eastAsia="Times New Roman" w:cstheme="minorHAnsi"/>
                <w:color w:val="000000"/>
                <w:sz w:val="20"/>
                <w:szCs w:val="20"/>
                <w:lang w:val="en-US" w:eastAsia="en-US"/>
              </w:rPr>
              <w:t xml:space="preserve">40-44 </w:t>
            </w:r>
          </w:p>
        </w:tc>
        <w:tc>
          <w:tcPr>
            <w:tcW w:w="0" w:type="auto"/>
            <w:shd w:val="clear" w:color="auto" w:fill="8EAADB" w:themeFill="accent5" w:themeFillTint="99"/>
            <w:textDirection w:val="btLr"/>
            <w:vAlign w:val="center"/>
          </w:tcPr>
          <w:p w14:paraId="6BBB0380" w14:textId="563AC937" w:rsidR="00D4736B" w:rsidRPr="000C5CA4" w:rsidRDefault="00D4736B" w:rsidP="00DE5EEB">
            <w:pPr>
              <w:spacing w:line="240" w:lineRule="auto"/>
              <w:ind w:left="113"/>
              <w:rPr>
                <w:rFonts w:eastAsia="Times New Roman"/>
                <w:sz w:val="20"/>
                <w:szCs w:val="20"/>
              </w:rPr>
            </w:pPr>
            <w:r w:rsidRPr="000C5CA4">
              <w:rPr>
                <w:rFonts w:eastAsia="Times New Roman" w:cstheme="minorHAnsi"/>
                <w:color w:val="000000"/>
                <w:sz w:val="20"/>
                <w:szCs w:val="20"/>
                <w:lang w:val="en-US" w:eastAsia="en-US"/>
              </w:rPr>
              <w:t xml:space="preserve">45-49 </w:t>
            </w:r>
          </w:p>
        </w:tc>
        <w:tc>
          <w:tcPr>
            <w:tcW w:w="0" w:type="auto"/>
            <w:shd w:val="clear" w:color="auto" w:fill="8EAADB" w:themeFill="accent5" w:themeFillTint="99"/>
            <w:textDirection w:val="btLr"/>
            <w:vAlign w:val="center"/>
          </w:tcPr>
          <w:p w14:paraId="008230F4" w14:textId="25031381" w:rsidR="00D4736B" w:rsidRPr="000C5CA4" w:rsidRDefault="00D4736B" w:rsidP="00DE5EEB">
            <w:pPr>
              <w:spacing w:line="240" w:lineRule="auto"/>
              <w:ind w:left="113"/>
              <w:rPr>
                <w:rFonts w:eastAsia="Times New Roman"/>
                <w:sz w:val="20"/>
                <w:szCs w:val="20"/>
              </w:rPr>
            </w:pPr>
            <w:r w:rsidRPr="000C5CA4">
              <w:rPr>
                <w:rFonts w:eastAsia="Times New Roman" w:cstheme="minorHAnsi"/>
                <w:color w:val="000000"/>
                <w:sz w:val="20"/>
                <w:szCs w:val="20"/>
                <w:lang w:val="en-US" w:eastAsia="en-US"/>
              </w:rPr>
              <w:t xml:space="preserve">50-54 </w:t>
            </w:r>
          </w:p>
        </w:tc>
        <w:tc>
          <w:tcPr>
            <w:tcW w:w="0" w:type="auto"/>
            <w:shd w:val="clear" w:color="auto" w:fill="8EAADB" w:themeFill="accent5" w:themeFillTint="99"/>
            <w:textDirection w:val="btLr"/>
            <w:vAlign w:val="center"/>
          </w:tcPr>
          <w:p w14:paraId="1D9CA00A" w14:textId="3DCFCF8E" w:rsidR="00D4736B" w:rsidRPr="000C5CA4" w:rsidRDefault="00D4736B" w:rsidP="00DE5EEB">
            <w:pPr>
              <w:spacing w:line="240" w:lineRule="auto"/>
              <w:ind w:left="113"/>
              <w:rPr>
                <w:rFonts w:eastAsia="Times New Roman"/>
                <w:sz w:val="20"/>
                <w:szCs w:val="20"/>
              </w:rPr>
            </w:pPr>
            <w:r w:rsidRPr="000C5CA4">
              <w:rPr>
                <w:rFonts w:eastAsia="Times New Roman" w:cstheme="minorHAnsi"/>
                <w:color w:val="000000"/>
                <w:sz w:val="20"/>
                <w:szCs w:val="20"/>
                <w:lang w:val="en-US" w:eastAsia="en-US"/>
              </w:rPr>
              <w:t xml:space="preserve">55-59 </w:t>
            </w:r>
          </w:p>
        </w:tc>
        <w:tc>
          <w:tcPr>
            <w:tcW w:w="0" w:type="auto"/>
            <w:shd w:val="clear" w:color="auto" w:fill="8EAADB" w:themeFill="accent5" w:themeFillTint="99"/>
            <w:textDirection w:val="btLr"/>
            <w:vAlign w:val="center"/>
          </w:tcPr>
          <w:p w14:paraId="688B6277" w14:textId="79B71795" w:rsidR="00D4736B" w:rsidRPr="000C5CA4" w:rsidRDefault="00D4736B" w:rsidP="00DE5EEB">
            <w:pPr>
              <w:spacing w:line="240" w:lineRule="auto"/>
              <w:ind w:left="113"/>
              <w:jc w:val="left"/>
              <w:rPr>
                <w:rFonts w:eastAsia="Times New Roman"/>
                <w:sz w:val="20"/>
                <w:szCs w:val="20"/>
              </w:rPr>
            </w:pPr>
            <w:r w:rsidRPr="000C5CA4">
              <w:rPr>
                <w:rFonts w:eastAsia="Times New Roman" w:cstheme="minorHAnsi"/>
                <w:color w:val="000000"/>
                <w:sz w:val="20"/>
                <w:szCs w:val="20"/>
                <w:lang w:val="en-US" w:eastAsia="en-US"/>
              </w:rPr>
              <w:t xml:space="preserve">60 i više </w:t>
            </w:r>
          </w:p>
        </w:tc>
      </w:tr>
      <w:tr w:rsidR="00D4736B" w:rsidRPr="000C5CA4" w14:paraId="17C68EB3" w14:textId="4369C911" w:rsidTr="00535077">
        <w:trPr>
          <w:cantSplit/>
          <w:trHeight w:val="340"/>
        </w:trPr>
        <w:tc>
          <w:tcPr>
            <w:tcW w:w="757" w:type="dxa"/>
            <w:vMerge w:val="restart"/>
            <w:shd w:val="clear" w:color="auto" w:fill="8EAADB" w:themeFill="accent5" w:themeFillTint="99"/>
            <w:textDirection w:val="btLr"/>
            <w:vAlign w:val="center"/>
          </w:tcPr>
          <w:p w14:paraId="5187356F" w14:textId="604A471D" w:rsidR="00D4736B" w:rsidRPr="000C5CA4" w:rsidRDefault="00D4736B" w:rsidP="00D4736B">
            <w:pPr>
              <w:widowControl/>
              <w:tabs>
                <w:tab w:val="clear" w:pos="5103"/>
              </w:tabs>
              <w:autoSpaceDE/>
              <w:autoSpaceDN/>
              <w:spacing w:line="240" w:lineRule="auto"/>
              <w:ind w:left="113" w:right="113"/>
              <w:jc w:val="center"/>
              <w:rPr>
                <w:rFonts w:eastAsia="Times New Roman" w:cstheme="minorHAnsi"/>
                <w:color w:val="000000"/>
                <w:sz w:val="20"/>
                <w:szCs w:val="20"/>
                <w:lang w:val="en-US" w:eastAsia="en-US"/>
              </w:rPr>
            </w:pPr>
            <w:r w:rsidRPr="000C5CA4">
              <w:rPr>
                <w:rFonts w:eastAsia="Times New Roman" w:cstheme="minorHAnsi"/>
                <w:color w:val="000000"/>
                <w:sz w:val="20"/>
                <w:szCs w:val="20"/>
                <w:lang w:val="en-US" w:eastAsia="en-US"/>
              </w:rPr>
              <w:t>2023</w:t>
            </w:r>
          </w:p>
          <w:p w14:paraId="4F7E4694" w14:textId="4B19B4EC" w:rsidR="00D4736B" w:rsidRPr="000C5CA4" w:rsidRDefault="00D4736B" w:rsidP="00D4736B">
            <w:pPr>
              <w:spacing w:line="240" w:lineRule="auto"/>
              <w:jc w:val="center"/>
              <w:rPr>
                <w:rFonts w:eastAsia="Times New Roman" w:cstheme="minorHAnsi"/>
                <w:color w:val="000000"/>
                <w:sz w:val="20"/>
                <w:szCs w:val="20"/>
                <w:lang w:val="en-US" w:eastAsia="en-US"/>
              </w:rPr>
            </w:pPr>
            <w:r w:rsidRPr="000C5CA4">
              <w:rPr>
                <w:rFonts w:eastAsia="Times New Roman" w:cstheme="minorHAnsi"/>
                <w:color w:val="000000"/>
                <w:sz w:val="20"/>
                <w:szCs w:val="20"/>
                <w:lang w:val="en-US" w:eastAsia="en-US"/>
              </w:rPr>
              <w:t>u %</w:t>
            </w:r>
          </w:p>
        </w:tc>
        <w:tc>
          <w:tcPr>
            <w:tcW w:w="391" w:type="dxa"/>
            <w:shd w:val="clear" w:color="auto" w:fill="FFF2CC" w:themeFill="accent4" w:themeFillTint="33"/>
            <w:vAlign w:val="center"/>
          </w:tcPr>
          <w:p w14:paraId="4D834F3B" w14:textId="66D9E132"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Ž</w:t>
            </w:r>
          </w:p>
        </w:tc>
        <w:tc>
          <w:tcPr>
            <w:tcW w:w="0" w:type="auto"/>
            <w:shd w:val="clear" w:color="auto" w:fill="FFF2CC" w:themeFill="accent4" w:themeFillTint="33"/>
            <w:vAlign w:val="center"/>
          </w:tcPr>
          <w:p w14:paraId="418375FE" w14:textId="0010B1BC"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51,38</w:t>
            </w:r>
          </w:p>
        </w:tc>
        <w:tc>
          <w:tcPr>
            <w:tcW w:w="0" w:type="auto"/>
            <w:shd w:val="clear" w:color="auto" w:fill="FFF2CC" w:themeFill="accent4" w:themeFillTint="33"/>
            <w:vAlign w:val="center"/>
          </w:tcPr>
          <w:p w14:paraId="6B52747A" w14:textId="1B7F1D7D"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63,05</w:t>
            </w:r>
          </w:p>
        </w:tc>
        <w:tc>
          <w:tcPr>
            <w:tcW w:w="0" w:type="auto"/>
            <w:shd w:val="clear" w:color="auto" w:fill="FFF2CC" w:themeFill="accent4" w:themeFillTint="33"/>
            <w:vAlign w:val="center"/>
          </w:tcPr>
          <w:p w14:paraId="554B590A" w14:textId="443C32DB"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71,49</w:t>
            </w:r>
          </w:p>
        </w:tc>
        <w:tc>
          <w:tcPr>
            <w:tcW w:w="0" w:type="auto"/>
            <w:shd w:val="clear" w:color="auto" w:fill="FFF2CC" w:themeFill="accent4" w:themeFillTint="33"/>
            <w:vAlign w:val="center"/>
          </w:tcPr>
          <w:p w14:paraId="46A3C40D" w14:textId="5477C211"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74,02</w:t>
            </w:r>
          </w:p>
        </w:tc>
        <w:tc>
          <w:tcPr>
            <w:tcW w:w="0" w:type="auto"/>
            <w:shd w:val="clear" w:color="auto" w:fill="FFF2CC" w:themeFill="accent4" w:themeFillTint="33"/>
            <w:vAlign w:val="center"/>
          </w:tcPr>
          <w:p w14:paraId="13A50463" w14:textId="3D33EBD1"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71,69</w:t>
            </w:r>
          </w:p>
        </w:tc>
        <w:tc>
          <w:tcPr>
            <w:tcW w:w="0" w:type="auto"/>
            <w:shd w:val="clear" w:color="auto" w:fill="FFF2CC" w:themeFill="accent4" w:themeFillTint="33"/>
            <w:vAlign w:val="center"/>
          </w:tcPr>
          <w:p w14:paraId="3CA5FF64" w14:textId="402ACF41"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70,70</w:t>
            </w:r>
          </w:p>
        </w:tc>
        <w:tc>
          <w:tcPr>
            <w:tcW w:w="0" w:type="auto"/>
            <w:shd w:val="clear" w:color="auto" w:fill="FFF2CC" w:themeFill="accent4" w:themeFillTint="33"/>
            <w:vAlign w:val="center"/>
          </w:tcPr>
          <w:p w14:paraId="4743665C" w14:textId="23CDADD7"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69,00</w:t>
            </w:r>
          </w:p>
        </w:tc>
        <w:tc>
          <w:tcPr>
            <w:tcW w:w="0" w:type="auto"/>
            <w:shd w:val="clear" w:color="auto" w:fill="FFF2CC" w:themeFill="accent4" w:themeFillTint="33"/>
            <w:vAlign w:val="center"/>
          </w:tcPr>
          <w:p w14:paraId="7FBAB8C0" w14:textId="0201655A"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62,18</w:t>
            </w:r>
          </w:p>
        </w:tc>
        <w:tc>
          <w:tcPr>
            <w:tcW w:w="0" w:type="auto"/>
            <w:shd w:val="clear" w:color="auto" w:fill="FFF2CC" w:themeFill="accent4" w:themeFillTint="33"/>
            <w:vAlign w:val="center"/>
          </w:tcPr>
          <w:p w14:paraId="394E9C14" w14:textId="743C857C"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56,46</w:t>
            </w:r>
          </w:p>
        </w:tc>
        <w:tc>
          <w:tcPr>
            <w:tcW w:w="0" w:type="auto"/>
            <w:shd w:val="clear" w:color="auto" w:fill="FFF2CC" w:themeFill="accent4" w:themeFillTint="33"/>
            <w:vAlign w:val="center"/>
          </w:tcPr>
          <w:p w14:paraId="237989D8" w14:textId="32B295E0"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46,86</w:t>
            </w:r>
          </w:p>
        </w:tc>
      </w:tr>
      <w:tr w:rsidR="00D4736B" w:rsidRPr="000C5CA4" w14:paraId="05F879D9" w14:textId="37BEA44E" w:rsidTr="00535077">
        <w:trPr>
          <w:cantSplit/>
          <w:trHeight w:val="340"/>
        </w:trPr>
        <w:tc>
          <w:tcPr>
            <w:tcW w:w="757" w:type="dxa"/>
            <w:vMerge/>
            <w:shd w:val="clear" w:color="auto" w:fill="8EAADB" w:themeFill="accent5" w:themeFillTint="99"/>
            <w:textDirection w:val="btLr"/>
            <w:vAlign w:val="center"/>
          </w:tcPr>
          <w:p w14:paraId="067E5B36" w14:textId="77777777" w:rsidR="00D4736B" w:rsidRPr="000C5CA4" w:rsidRDefault="00D4736B" w:rsidP="00D4736B">
            <w:pPr>
              <w:spacing w:line="240" w:lineRule="auto"/>
              <w:jc w:val="center"/>
              <w:rPr>
                <w:rFonts w:eastAsia="Times New Roman" w:cstheme="minorHAnsi"/>
                <w:color w:val="000000"/>
                <w:sz w:val="20"/>
                <w:szCs w:val="20"/>
                <w:lang w:val="en-US" w:eastAsia="en-US"/>
              </w:rPr>
            </w:pPr>
          </w:p>
        </w:tc>
        <w:tc>
          <w:tcPr>
            <w:tcW w:w="391" w:type="dxa"/>
            <w:shd w:val="clear" w:color="auto" w:fill="D9E2F3" w:themeFill="accent5" w:themeFillTint="33"/>
            <w:vAlign w:val="center"/>
          </w:tcPr>
          <w:p w14:paraId="375D1DED" w14:textId="4FA12DF4"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M</w:t>
            </w:r>
          </w:p>
        </w:tc>
        <w:tc>
          <w:tcPr>
            <w:tcW w:w="0" w:type="auto"/>
            <w:shd w:val="clear" w:color="auto" w:fill="D9E2F3" w:themeFill="accent5" w:themeFillTint="33"/>
            <w:vAlign w:val="center"/>
          </w:tcPr>
          <w:p w14:paraId="0A51F015" w14:textId="7B994CBE"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48,62</w:t>
            </w:r>
          </w:p>
        </w:tc>
        <w:tc>
          <w:tcPr>
            <w:tcW w:w="0" w:type="auto"/>
            <w:shd w:val="clear" w:color="auto" w:fill="D9E2F3" w:themeFill="accent5" w:themeFillTint="33"/>
            <w:vAlign w:val="center"/>
          </w:tcPr>
          <w:p w14:paraId="04740716" w14:textId="43220258"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36,95</w:t>
            </w:r>
          </w:p>
        </w:tc>
        <w:tc>
          <w:tcPr>
            <w:tcW w:w="0" w:type="auto"/>
            <w:shd w:val="clear" w:color="auto" w:fill="D9E2F3" w:themeFill="accent5" w:themeFillTint="33"/>
            <w:vAlign w:val="center"/>
          </w:tcPr>
          <w:p w14:paraId="724085F8" w14:textId="5B4369BC"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28,51</w:t>
            </w:r>
          </w:p>
        </w:tc>
        <w:tc>
          <w:tcPr>
            <w:tcW w:w="0" w:type="auto"/>
            <w:shd w:val="clear" w:color="auto" w:fill="D9E2F3" w:themeFill="accent5" w:themeFillTint="33"/>
            <w:vAlign w:val="center"/>
          </w:tcPr>
          <w:p w14:paraId="30607707" w14:textId="115CDD19"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25,98</w:t>
            </w:r>
          </w:p>
        </w:tc>
        <w:tc>
          <w:tcPr>
            <w:tcW w:w="0" w:type="auto"/>
            <w:shd w:val="clear" w:color="auto" w:fill="D9E2F3" w:themeFill="accent5" w:themeFillTint="33"/>
            <w:vAlign w:val="center"/>
          </w:tcPr>
          <w:p w14:paraId="7FC30BCD" w14:textId="72EB0536"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28,31</w:t>
            </w:r>
          </w:p>
        </w:tc>
        <w:tc>
          <w:tcPr>
            <w:tcW w:w="0" w:type="auto"/>
            <w:shd w:val="clear" w:color="auto" w:fill="D9E2F3" w:themeFill="accent5" w:themeFillTint="33"/>
            <w:vAlign w:val="center"/>
          </w:tcPr>
          <w:p w14:paraId="78A8A384" w14:textId="455DC9B4"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29,30</w:t>
            </w:r>
          </w:p>
        </w:tc>
        <w:tc>
          <w:tcPr>
            <w:tcW w:w="0" w:type="auto"/>
            <w:shd w:val="clear" w:color="auto" w:fill="D9E2F3" w:themeFill="accent5" w:themeFillTint="33"/>
            <w:vAlign w:val="center"/>
          </w:tcPr>
          <w:p w14:paraId="7895FC74" w14:textId="2492D9B7"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31,00</w:t>
            </w:r>
          </w:p>
        </w:tc>
        <w:tc>
          <w:tcPr>
            <w:tcW w:w="0" w:type="auto"/>
            <w:shd w:val="clear" w:color="auto" w:fill="D9E2F3" w:themeFill="accent5" w:themeFillTint="33"/>
            <w:vAlign w:val="center"/>
          </w:tcPr>
          <w:p w14:paraId="2D02F7EF" w14:textId="0A99EFDC"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37,82</w:t>
            </w:r>
          </w:p>
        </w:tc>
        <w:tc>
          <w:tcPr>
            <w:tcW w:w="0" w:type="auto"/>
            <w:shd w:val="clear" w:color="auto" w:fill="D9E2F3" w:themeFill="accent5" w:themeFillTint="33"/>
            <w:vAlign w:val="center"/>
          </w:tcPr>
          <w:p w14:paraId="65EE6729" w14:textId="50D9D730"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43,54</w:t>
            </w:r>
          </w:p>
        </w:tc>
        <w:tc>
          <w:tcPr>
            <w:tcW w:w="0" w:type="auto"/>
            <w:shd w:val="clear" w:color="auto" w:fill="D9E2F3" w:themeFill="accent5" w:themeFillTint="33"/>
            <w:vAlign w:val="center"/>
          </w:tcPr>
          <w:p w14:paraId="78AD3C4E" w14:textId="082C9030"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53,14</w:t>
            </w:r>
          </w:p>
        </w:tc>
      </w:tr>
      <w:tr w:rsidR="00D4736B" w:rsidRPr="000C5CA4" w14:paraId="306C5ABD" w14:textId="781F8BCD" w:rsidTr="00535077">
        <w:trPr>
          <w:cantSplit/>
          <w:trHeight w:val="340"/>
        </w:trPr>
        <w:tc>
          <w:tcPr>
            <w:tcW w:w="757" w:type="dxa"/>
            <w:vMerge w:val="restart"/>
            <w:shd w:val="clear" w:color="auto" w:fill="8EAADB" w:themeFill="accent5" w:themeFillTint="99"/>
            <w:textDirection w:val="btLr"/>
            <w:vAlign w:val="center"/>
          </w:tcPr>
          <w:p w14:paraId="343E9428" w14:textId="77777777" w:rsidR="00D4736B" w:rsidRPr="000C5CA4" w:rsidRDefault="00D4736B" w:rsidP="00D4736B">
            <w:pPr>
              <w:widowControl/>
              <w:tabs>
                <w:tab w:val="clear" w:pos="5103"/>
              </w:tabs>
              <w:autoSpaceDE/>
              <w:autoSpaceDN/>
              <w:spacing w:line="240" w:lineRule="auto"/>
              <w:ind w:left="113" w:right="113"/>
              <w:jc w:val="center"/>
              <w:rPr>
                <w:rFonts w:eastAsia="Times New Roman" w:cstheme="minorHAnsi"/>
                <w:color w:val="000000"/>
                <w:sz w:val="20"/>
                <w:szCs w:val="20"/>
                <w:lang w:val="en-US" w:eastAsia="en-US"/>
              </w:rPr>
            </w:pPr>
            <w:r w:rsidRPr="000C5CA4">
              <w:rPr>
                <w:rFonts w:eastAsia="Times New Roman" w:cstheme="minorHAnsi"/>
                <w:color w:val="000000"/>
                <w:sz w:val="20"/>
                <w:szCs w:val="20"/>
                <w:lang w:val="en-US" w:eastAsia="en-US"/>
              </w:rPr>
              <w:t>2024</w:t>
            </w:r>
          </w:p>
          <w:p w14:paraId="4E052953" w14:textId="5FC694E0" w:rsidR="00D4736B" w:rsidRPr="000C5CA4" w:rsidRDefault="00D4736B" w:rsidP="00D4736B">
            <w:pPr>
              <w:spacing w:line="240" w:lineRule="auto"/>
              <w:jc w:val="center"/>
              <w:rPr>
                <w:rFonts w:eastAsia="Times New Roman" w:cstheme="minorHAnsi"/>
                <w:color w:val="000000"/>
                <w:sz w:val="20"/>
                <w:szCs w:val="20"/>
                <w:lang w:val="en-US" w:eastAsia="en-US"/>
              </w:rPr>
            </w:pPr>
            <w:r w:rsidRPr="000C5CA4">
              <w:rPr>
                <w:rFonts w:eastAsia="Times New Roman" w:cstheme="minorHAnsi"/>
                <w:color w:val="000000"/>
                <w:sz w:val="20"/>
                <w:szCs w:val="20"/>
                <w:lang w:val="en-US" w:eastAsia="en-US"/>
              </w:rPr>
              <w:t>u %</w:t>
            </w:r>
          </w:p>
        </w:tc>
        <w:tc>
          <w:tcPr>
            <w:tcW w:w="391" w:type="dxa"/>
            <w:shd w:val="clear" w:color="auto" w:fill="FFF2CC" w:themeFill="accent4" w:themeFillTint="33"/>
            <w:vAlign w:val="center"/>
          </w:tcPr>
          <w:p w14:paraId="2867272A" w14:textId="756CCDF7"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Ž</w:t>
            </w:r>
          </w:p>
        </w:tc>
        <w:tc>
          <w:tcPr>
            <w:tcW w:w="0" w:type="auto"/>
            <w:shd w:val="clear" w:color="auto" w:fill="FFF2CC" w:themeFill="accent4" w:themeFillTint="33"/>
            <w:vAlign w:val="center"/>
          </w:tcPr>
          <w:p w14:paraId="18564BFB" w14:textId="19E793C6"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51,62</w:t>
            </w:r>
          </w:p>
        </w:tc>
        <w:tc>
          <w:tcPr>
            <w:tcW w:w="0" w:type="auto"/>
            <w:shd w:val="clear" w:color="auto" w:fill="FFF2CC" w:themeFill="accent4" w:themeFillTint="33"/>
            <w:vAlign w:val="center"/>
          </w:tcPr>
          <w:p w14:paraId="41AD87DE" w14:textId="59FEE364"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64,82</w:t>
            </w:r>
          </w:p>
        </w:tc>
        <w:tc>
          <w:tcPr>
            <w:tcW w:w="0" w:type="auto"/>
            <w:shd w:val="clear" w:color="auto" w:fill="FFF2CC" w:themeFill="accent4" w:themeFillTint="33"/>
            <w:vAlign w:val="center"/>
          </w:tcPr>
          <w:p w14:paraId="39422584" w14:textId="6470ED10"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72,39</w:t>
            </w:r>
          </w:p>
        </w:tc>
        <w:tc>
          <w:tcPr>
            <w:tcW w:w="0" w:type="auto"/>
            <w:shd w:val="clear" w:color="auto" w:fill="FFF2CC" w:themeFill="accent4" w:themeFillTint="33"/>
            <w:vAlign w:val="center"/>
          </w:tcPr>
          <w:p w14:paraId="39A618F0" w14:textId="73654247"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75,19</w:t>
            </w:r>
          </w:p>
        </w:tc>
        <w:tc>
          <w:tcPr>
            <w:tcW w:w="0" w:type="auto"/>
            <w:shd w:val="clear" w:color="auto" w:fill="FFF2CC" w:themeFill="accent4" w:themeFillTint="33"/>
            <w:vAlign w:val="center"/>
          </w:tcPr>
          <w:p w14:paraId="34177CD0" w14:textId="76B0AD08"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72,75</w:t>
            </w:r>
          </w:p>
        </w:tc>
        <w:tc>
          <w:tcPr>
            <w:tcW w:w="0" w:type="auto"/>
            <w:shd w:val="clear" w:color="auto" w:fill="FFF2CC" w:themeFill="accent4" w:themeFillTint="33"/>
            <w:vAlign w:val="center"/>
          </w:tcPr>
          <w:p w14:paraId="041C184D" w14:textId="3A0FD71B"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71,60</w:t>
            </w:r>
          </w:p>
        </w:tc>
        <w:tc>
          <w:tcPr>
            <w:tcW w:w="0" w:type="auto"/>
            <w:shd w:val="clear" w:color="auto" w:fill="FFF2CC" w:themeFill="accent4" w:themeFillTint="33"/>
            <w:vAlign w:val="center"/>
          </w:tcPr>
          <w:p w14:paraId="44DCE231" w14:textId="30B6F555"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70,32</w:t>
            </w:r>
          </w:p>
        </w:tc>
        <w:tc>
          <w:tcPr>
            <w:tcW w:w="0" w:type="auto"/>
            <w:shd w:val="clear" w:color="auto" w:fill="FFF2CC" w:themeFill="accent4" w:themeFillTint="33"/>
            <w:vAlign w:val="center"/>
          </w:tcPr>
          <w:p w14:paraId="68DE4FAF" w14:textId="4E938D4F"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63,28</w:t>
            </w:r>
          </w:p>
        </w:tc>
        <w:tc>
          <w:tcPr>
            <w:tcW w:w="0" w:type="auto"/>
            <w:shd w:val="clear" w:color="auto" w:fill="FFF2CC" w:themeFill="accent4" w:themeFillTint="33"/>
            <w:vAlign w:val="center"/>
          </w:tcPr>
          <w:p w14:paraId="33A3DD44" w14:textId="50213111"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57,25</w:t>
            </w:r>
          </w:p>
        </w:tc>
        <w:tc>
          <w:tcPr>
            <w:tcW w:w="0" w:type="auto"/>
            <w:shd w:val="clear" w:color="auto" w:fill="FFF2CC" w:themeFill="accent4" w:themeFillTint="33"/>
            <w:vAlign w:val="center"/>
          </w:tcPr>
          <w:p w14:paraId="0489E2E7" w14:textId="30A444CD"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50,06</w:t>
            </w:r>
          </w:p>
        </w:tc>
      </w:tr>
      <w:tr w:rsidR="00D4736B" w:rsidRPr="000C5CA4" w14:paraId="0F3BDC71" w14:textId="43DEBA7F" w:rsidTr="00535077">
        <w:trPr>
          <w:cantSplit/>
          <w:trHeight w:val="340"/>
        </w:trPr>
        <w:tc>
          <w:tcPr>
            <w:tcW w:w="757" w:type="dxa"/>
            <w:vMerge/>
            <w:shd w:val="clear" w:color="auto" w:fill="8EAADB" w:themeFill="accent5" w:themeFillTint="99"/>
          </w:tcPr>
          <w:p w14:paraId="5AFDE9CA" w14:textId="77777777" w:rsidR="00D4736B" w:rsidRPr="000C5CA4" w:rsidRDefault="00D4736B" w:rsidP="00D4736B">
            <w:pPr>
              <w:spacing w:line="240" w:lineRule="auto"/>
              <w:rPr>
                <w:rFonts w:eastAsia="Times New Roman" w:cstheme="minorHAnsi"/>
                <w:color w:val="000000"/>
                <w:sz w:val="20"/>
                <w:szCs w:val="20"/>
                <w:lang w:val="en-US" w:eastAsia="en-US"/>
              </w:rPr>
            </w:pPr>
          </w:p>
        </w:tc>
        <w:tc>
          <w:tcPr>
            <w:tcW w:w="391" w:type="dxa"/>
            <w:shd w:val="clear" w:color="auto" w:fill="D9E2F3" w:themeFill="accent5" w:themeFillTint="33"/>
            <w:vAlign w:val="center"/>
          </w:tcPr>
          <w:p w14:paraId="03D436DE" w14:textId="6A26853F"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M</w:t>
            </w:r>
          </w:p>
        </w:tc>
        <w:tc>
          <w:tcPr>
            <w:tcW w:w="0" w:type="auto"/>
            <w:shd w:val="clear" w:color="auto" w:fill="D9E2F3" w:themeFill="accent5" w:themeFillTint="33"/>
            <w:vAlign w:val="center"/>
          </w:tcPr>
          <w:p w14:paraId="7F498483" w14:textId="4F327080"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48,38</w:t>
            </w:r>
          </w:p>
        </w:tc>
        <w:tc>
          <w:tcPr>
            <w:tcW w:w="0" w:type="auto"/>
            <w:shd w:val="clear" w:color="auto" w:fill="D9E2F3" w:themeFill="accent5" w:themeFillTint="33"/>
            <w:vAlign w:val="center"/>
          </w:tcPr>
          <w:p w14:paraId="426D99B0" w14:textId="22665A95"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35,18</w:t>
            </w:r>
          </w:p>
        </w:tc>
        <w:tc>
          <w:tcPr>
            <w:tcW w:w="0" w:type="auto"/>
            <w:shd w:val="clear" w:color="auto" w:fill="D9E2F3" w:themeFill="accent5" w:themeFillTint="33"/>
            <w:vAlign w:val="center"/>
          </w:tcPr>
          <w:p w14:paraId="01ADD7C6" w14:textId="4BADC525"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27,61</w:t>
            </w:r>
          </w:p>
        </w:tc>
        <w:tc>
          <w:tcPr>
            <w:tcW w:w="0" w:type="auto"/>
            <w:shd w:val="clear" w:color="auto" w:fill="D9E2F3" w:themeFill="accent5" w:themeFillTint="33"/>
            <w:vAlign w:val="center"/>
          </w:tcPr>
          <w:p w14:paraId="053B6A73" w14:textId="195ACF7A"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24,81</w:t>
            </w:r>
          </w:p>
        </w:tc>
        <w:tc>
          <w:tcPr>
            <w:tcW w:w="0" w:type="auto"/>
            <w:shd w:val="clear" w:color="auto" w:fill="D9E2F3" w:themeFill="accent5" w:themeFillTint="33"/>
            <w:vAlign w:val="center"/>
          </w:tcPr>
          <w:p w14:paraId="536F7500" w14:textId="4BD648B9"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27,25</w:t>
            </w:r>
          </w:p>
        </w:tc>
        <w:tc>
          <w:tcPr>
            <w:tcW w:w="0" w:type="auto"/>
            <w:shd w:val="clear" w:color="auto" w:fill="D9E2F3" w:themeFill="accent5" w:themeFillTint="33"/>
            <w:vAlign w:val="center"/>
          </w:tcPr>
          <w:p w14:paraId="75E86CCF" w14:textId="0CBC030C"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28,40</w:t>
            </w:r>
          </w:p>
        </w:tc>
        <w:tc>
          <w:tcPr>
            <w:tcW w:w="0" w:type="auto"/>
            <w:shd w:val="clear" w:color="auto" w:fill="D9E2F3" w:themeFill="accent5" w:themeFillTint="33"/>
            <w:vAlign w:val="center"/>
          </w:tcPr>
          <w:p w14:paraId="70A340B9" w14:textId="75EE8C07"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29,68</w:t>
            </w:r>
          </w:p>
        </w:tc>
        <w:tc>
          <w:tcPr>
            <w:tcW w:w="0" w:type="auto"/>
            <w:shd w:val="clear" w:color="auto" w:fill="D9E2F3" w:themeFill="accent5" w:themeFillTint="33"/>
            <w:vAlign w:val="center"/>
          </w:tcPr>
          <w:p w14:paraId="41F6FF67" w14:textId="0DA0FDFD"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36,72</w:t>
            </w:r>
          </w:p>
        </w:tc>
        <w:tc>
          <w:tcPr>
            <w:tcW w:w="0" w:type="auto"/>
            <w:shd w:val="clear" w:color="auto" w:fill="D9E2F3" w:themeFill="accent5" w:themeFillTint="33"/>
            <w:vAlign w:val="center"/>
          </w:tcPr>
          <w:p w14:paraId="3BB0F88C" w14:textId="246430D8"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42,75</w:t>
            </w:r>
          </w:p>
        </w:tc>
        <w:tc>
          <w:tcPr>
            <w:tcW w:w="0" w:type="auto"/>
            <w:shd w:val="clear" w:color="auto" w:fill="D9E2F3" w:themeFill="accent5" w:themeFillTint="33"/>
            <w:vAlign w:val="center"/>
          </w:tcPr>
          <w:p w14:paraId="7D1B2017" w14:textId="28F02B44" w:rsidR="00D4736B" w:rsidRPr="000C5CA4" w:rsidRDefault="00D4736B" w:rsidP="00D4736B">
            <w:pPr>
              <w:spacing w:line="240" w:lineRule="auto"/>
              <w:jc w:val="center"/>
              <w:rPr>
                <w:rFonts w:eastAsia="Times New Roman"/>
                <w:sz w:val="20"/>
                <w:szCs w:val="20"/>
              </w:rPr>
            </w:pPr>
            <w:r w:rsidRPr="000C5CA4">
              <w:rPr>
                <w:rFonts w:eastAsia="Times New Roman" w:cstheme="minorHAnsi"/>
                <w:color w:val="000000"/>
                <w:sz w:val="20"/>
                <w:szCs w:val="20"/>
                <w:lang w:val="en-US" w:eastAsia="en-US"/>
              </w:rPr>
              <w:t>49,94</w:t>
            </w:r>
          </w:p>
        </w:tc>
      </w:tr>
    </w:tbl>
    <w:p w14:paraId="28B2DA59" w14:textId="77777777" w:rsidR="00415BD6" w:rsidRPr="000C5CA4" w:rsidRDefault="00415BD6" w:rsidP="002C4211">
      <w:pPr>
        <w:spacing w:line="276" w:lineRule="auto"/>
        <w:rPr>
          <w:rFonts w:eastAsia="Times New Roman"/>
          <w:sz w:val="22"/>
          <w:szCs w:val="20"/>
        </w:rPr>
      </w:pPr>
    </w:p>
    <w:p w14:paraId="2401CD4B" w14:textId="27495362" w:rsidR="002C4211" w:rsidRPr="000C5CA4" w:rsidRDefault="002C4211" w:rsidP="002C4211">
      <w:pPr>
        <w:spacing w:line="276" w:lineRule="auto"/>
        <w:rPr>
          <w:rFonts w:eastAsia="Times New Roman"/>
          <w:sz w:val="22"/>
          <w:szCs w:val="20"/>
        </w:rPr>
      </w:pPr>
      <w:r w:rsidRPr="000C5CA4">
        <w:rPr>
          <w:rFonts w:eastAsia="Times New Roman"/>
          <w:sz w:val="22"/>
          <w:szCs w:val="20"/>
        </w:rPr>
        <w:t xml:space="preserve">U pogledu nezaposlenosti po starosnoj dobi u 2024. godini prema statističkim podacima JU Služba za zapošljavanje TK Tuzla, najviše nezaposlenih po starosnoj strukturi žena je između 30-34. godine dok kod muškaraca </w:t>
      </w:r>
      <w:r w:rsidR="00D4736B" w:rsidRPr="000C5CA4">
        <w:rPr>
          <w:rFonts w:eastAsia="Times New Roman"/>
          <w:sz w:val="22"/>
          <w:szCs w:val="20"/>
        </w:rPr>
        <w:t>u</w:t>
      </w:r>
      <w:r w:rsidRPr="000C5CA4">
        <w:rPr>
          <w:rFonts w:eastAsia="Times New Roman"/>
          <w:sz w:val="22"/>
          <w:szCs w:val="20"/>
        </w:rPr>
        <w:t xml:space="preserve"> starosnoj dobi između 60 i više godina.</w:t>
      </w:r>
    </w:p>
    <w:p w14:paraId="0F5A1792" w14:textId="3DC59BBA" w:rsidR="002C4211" w:rsidRPr="000C5CA4" w:rsidRDefault="002C4211" w:rsidP="00672AC4">
      <w:pPr>
        <w:pStyle w:val="BodyText"/>
        <w:rPr>
          <w:sz w:val="22"/>
          <w:szCs w:val="20"/>
        </w:rPr>
      </w:pPr>
      <w:r w:rsidRPr="000C5CA4">
        <w:rPr>
          <w:noProof/>
          <w:sz w:val="22"/>
          <w:szCs w:val="20"/>
          <w:lang w:eastAsia="bs-Latn-BA"/>
        </w:rPr>
        <w:drawing>
          <wp:inline distT="0" distB="0" distL="0" distR="0" wp14:anchorId="1DE56B78" wp14:editId="2C583A0F">
            <wp:extent cx="5734050" cy="23812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F408DB" w14:textId="77777777" w:rsidR="006C2D6D" w:rsidRPr="000C5CA4" w:rsidRDefault="006C2D6D" w:rsidP="00672AC4">
      <w:pPr>
        <w:pStyle w:val="BodyText"/>
        <w:rPr>
          <w:sz w:val="22"/>
          <w:szCs w:val="20"/>
        </w:rPr>
      </w:pPr>
    </w:p>
    <w:p w14:paraId="3BA3F113" w14:textId="0527842E" w:rsidR="002C4211" w:rsidRPr="000C5CA4" w:rsidRDefault="002C4211" w:rsidP="00672AC4">
      <w:pPr>
        <w:pStyle w:val="BodyText"/>
        <w:rPr>
          <w:sz w:val="22"/>
          <w:szCs w:val="20"/>
        </w:rPr>
      </w:pPr>
      <w:r w:rsidRPr="000C5CA4">
        <w:rPr>
          <w:noProof/>
          <w:sz w:val="22"/>
          <w:szCs w:val="20"/>
          <w:lang w:eastAsia="bs-Latn-BA"/>
        </w:rPr>
        <w:lastRenderedPageBreak/>
        <w:drawing>
          <wp:inline distT="0" distB="0" distL="0" distR="0" wp14:anchorId="58069C25" wp14:editId="7F74702B">
            <wp:extent cx="5819775" cy="2336800"/>
            <wp:effectExtent l="0" t="0" r="0"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8D9D83" w14:textId="77777777" w:rsidR="006C2D6D" w:rsidRPr="000C5CA4" w:rsidRDefault="006C2D6D" w:rsidP="007B11D8">
      <w:pPr>
        <w:pStyle w:val="BodyText"/>
        <w:jc w:val="center"/>
        <w:rPr>
          <w:rFonts w:cs="Arial"/>
          <w:sz w:val="22"/>
        </w:rPr>
      </w:pPr>
    </w:p>
    <w:tbl>
      <w:tblPr>
        <w:tblW w:w="0" w:type="auto"/>
        <w:jc w:val="center"/>
        <w:tblLook w:val="04A0" w:firstRow="1" w:lastRow="0" w:firstColumn="1" w:lastColumn="0" w:noHBand="0" w:noVBand="1"/>
      </w:tblPr>
      <w:tblGrid>
        <w:gridCol w:w="1199"/>
        <w:gridCol w:w="812"/>
        <w:gridCol w:w="926"/>
        <w:gridCol w:w="812"/>
        <w:gridCol w:w="926"/>
      </w:tblGrid>
      <w:tr w:rsidR="008E6760" w:rsidRPr="000C5CA4" w14:paraId="4080892B" w14:textId="77777777" w:rsidTr="008E6760">
        <w:trPr>
          <w:trHeight w:val="300"/>
          <w:jc w:val="center"/>
        </w:trPr>
        <w:tc>
          <w:tcPr>
            <w:tcW w:w="0" w:type="auto"/>
            <w:vMerge w:val="restart"/>
            <w:tcBorders>
              <w:top w:val="single" w:sz="4" w:space="0" w:color="auto"/>
              <w:left w:val="single" w:sz="4" w:space="0" w:color="auto"/>
              <w:right w:val="single" w:sz="4" w:space="0" w:color="auto"/>
            </w:tcBorders>
            <w:shd w:val="clear" w:color="auto" w:fill="8EAADB" w:themeFill="accent5" w:themeFillTint="99"/>
            <w:noWrap/>
            <w:vAlign w:val="center"/>
            <w:hideMark/>
          </w:tcPr>
          <w:p w14:paraId="3FCAB54A" w14:textId="2BCC00F2"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p>
        </w:tc>
        <w:tc>
          <w:tcPr>
            <w:tcW w:w="0" w:type="auto"/>
            <w:gridSpan w:val="2"/>
            <w:tcBorders>
              <w:top w:val="single" w:sz="4" w:space="0" w:color="auto"/>
              <w:left w:val="nil"/>
              <w:bottom w:val="single" w:sz="4" w:space="0" w:color="auto"/>
              <w:right w:val="single" w:sz="4" w:space="0" w:color="auto"/>
            </w:tcBorders>
            <w:shd w:val="clear" w:color="auto" w:fill="8EAADB" w:themeFill="accent5" w:themeFillTint="99"/>
            <w:noWrap/>
            <w:vAlign w:val="center"/>
            <w:hideMark/>
          </w:tcPr>
          <w:p w14:paraId="5E99C175"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2023</w:t>
            </w:r>
          </w:p>
        </w:tc>
        <w:tc>
          <w:tcPr>
            <w:tcW w:w="0" w:type="auto"/>
            <w:gridSpan w:val="2"/>
            <w:tcBorders>
              <w:top w:val="single" w:sz="4" w:space="0" w:color="auto"/>
              <w:left w:val="nil"/>
              <w:bottom w:val="single" w:sz="4" w:space="0" w:color="auto"/>
              <w:right w:val="single" w:sz="4" w:space="0" w:color="auto"/>
            </w:tcBorders>
            <w:shd w:val="clear" w:color="auto" w:fill="8EAADB" w:themeFill="accent5" w:themeFillTint="99"/>
            <w:noWrap/>
            <w:vAlign w:val="center"/>
            <w:hideMark/>
          </w:tcPr>
          <w:p w14:paraId="4B9F7CB8"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2024</w:t>
            </w:r>
          </w:p>
        </w:tc>
      </w:tr>
      <w:tr w:rsidR="008E6760" w:rsidRPr="000C5CA4" w14:paraId="47300330" w14:textId="77777777" w:rsidTr="008E6760">
        <w:trPr>
          <w:trHeight w:val="345"/>
          <w:jc w:val="center"/>
        </w:trPr>
        <w:tc>
          <w:tcPr>
            <w:tcW w:w="0" w:type="auto"/>
            <w:vMerge/>
            <w:tcBorders>
              <w:left w:val="single" w:sz="4" w:space="0" w:color="auto"/>
              <w:bottom w:val="single" w:sz="4" w:space="0" w:color="auto"/>
              <w:right w:val="single" w:sz="4" w:space="0" w:color="auto"/>
            </w:tcBorders>
            <w:shd w:val="clear" w:color="auto" w:fill="8EAADB" w:themeFill="accent5" w:themeFillTint="99"/>
            <w:noWrap/>
            <w:vAlign w:val="center"/>
            <w:hideMark/>
          </w:tcPr>
          <w:p w14:paraId="1E1B06CC" w14:textId="4C4D204D"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0DE0813A" w14:textId="45DD0263"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Žene</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78CA3BA0" w14:textId="4AB176B1"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Muškarci</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015E53C1" w14:textId="15233F44"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Žene</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1ABFB283" w14:textId="043EDAD0"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Muškarci</w:t>
            </w:r>
          </w:p>
        </w:tc>
      </w:tr>
      <w:tr w:rsidR="008E6760" w:rsidRPr="000C5CA4" w14:paraId="7AF2FD43"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17F7253D"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Banovići</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7F5C5A64"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77,21%</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1504A83D"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22,79%</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6EB6F404"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76,71%</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7BBC1EB5"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23,29%</w:t>
            </w:r>
          </w:p>
        </w:tc>
      </w:tr>
      <w:tr w:rsidR="008E6760" w:rsidRPr="000C5CA4" w14:paraId="00519568"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56EAE8C0"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Čelić</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0CEFFFDF"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58,98%</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6E37B3A0"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41,02%</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69F2E201"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57,30%</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25D53B53"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42,70%</w:t>
            </w:r>
          </w:p>
        </w:tc>
      </w:tr>
      <w:tr w:rsidR="008E6760" w:rsidRPr="000C5CA4" w14:paraId="37CE169D"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54DD5760" w14:textId="7A5D1F7F"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Doboj - Istok</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4A6DD83D"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68,33%</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730D86A1"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31,67%</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68F2D2F6"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68,67%</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4694069A"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31,33%</w:t>
            </w:r>
          </w:p>
        </w:tc>
      </w:tr>
      <w:tr w:rsidR="008E6760" w:rsidRPr="000C5CA4" w14:paraId="045C4439"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noWrap/>
            <w:vAlign w:val="center"/>
            <w:hideMark/>
          </w:tcPr>
          <w:p w14:paraId="7846689D"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Gračanica</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4028383C" w14:textId="761B0337" w:rsidR="008E6760" w:rsidRPr="000C5CA4" w:rsidRDefault="001D713A"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w:t>
            </w:r>
            <w:r w:rsidR="008E6760" w:rsidRPr="000C5CA4">
              <w:rPr>
                <w:rFonts w:eastAsia="Times New Roman" w:cstheme="minorHAnsi"/>
                <w:color w:val="000000"/>
                <w:sz w:val="18"/>
                <w:szCs w:val="18"/>
                <w:lang w:val="en-US" w:eastAsia="en-US"/>
              </w:rPr>
              <w:t>5,66%</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62023089"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64,34%</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090CD057"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66,94%</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4BA1418B"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33,06%</w:t>
            </w:r>
          </w:p>
        </w:tc>
      </w:tr>
      <w:tr w:rsidR="008E6760" w:rsidRPr="000C5CA4" w14:paraId="1506F4FA"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noWrap/>
            <w:vAlign w:val="center"/>
            <w:hideMark/>
          </w:tcPr>
          <w:p w14:paraId="62B1E033"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Gradačac</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5CF2E5C8"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59,46%</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6D662104"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40,54%</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020D7DDC"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60,68%</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5AA20782"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39,32%</w:t>
            </w:r>
          </w:p>
        </w:tc>
      </w:tr>
      <w:tr w:rsidR="008E6760" w:rsidRPr="000C5CA4" w14:paraId="3AA44126"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46F0D0C5"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Kalesija</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1F85E704"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63,41%</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6EFC48EF"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36,59%</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5F86F9C6"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64,92%</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582911FF"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35,08%</w:t>
            </w:r>
          </w:p>
        </w:tc>
      </w:tr>
      <w:tr w:rsidR="008E6760" w:rsidRPr="000C5CA4" w14:paraId="7D715A9E"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4A641CA8"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Kladanj</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7DAC284D"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65,83%</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509318EB"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34,17%</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362FCE75"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66,14%</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6310253C"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33,86%</w:t>
            </w:r>
          </w:p>
        </w:tc>
      </w:tr>
      <w:tr w:rsidR="008E6760" w:rsidRPr="000C5CA4" w14:paraId="7061AD3D"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00AE47DA"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Lukavac</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390731C4"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66,26%</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640CEF30"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33,74%</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5F40F893"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67,04%</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5A8D0E12"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32,96%</w:t>
            </w:r>
          </w:p>
        </w:tc>
      </w:tr>
      <w:tr w:rsidR="008E6760" w:rsidRPr="000C5CA4" w14:paraId="625DB1C2"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6E400228"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Sapna</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289FA242"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62,54%</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0F207CD8"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37,46%</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6C622D27"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63,20%</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0D6B2456"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36,80%</w:t>
            </w:r>
          </w:p>
        </w:tc>
      </w:tr>
      <w:tr w:rsidR="008E6760" w:rsidRPr="000C5CA4" w14:paraId="64E7A29A"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noWrap/>
            <w:vAlign w:val="center"/>
            <w:hideMark/>
          </w:tcPr>
          <w:p w14:paraId="3F795A5C"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Srebrenik</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2D8C5111"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65,05%</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7B0EC440"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34,95%</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008BCB9B"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65,70%</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0E0EB2A2"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34,30%</w:t>
            </w:r>
          </w:p>
        </w:tc>
      </w:tr>
      <w:tr w:rsidR="008E6760" w:rsidRPr="000C5CA4" w14:paraId="57A7E47B"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2555EAAA" w14:textId="618E4558"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Teočak</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6C184F86"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63,36%</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7BAFCABA"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36,64%</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220135F0"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64,99%</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237EEF1D"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35,01%</w:t>
            </w:r>
          </w:p>
        </w:tc>
      </w:tr>
      <w:tr w:rsidR="008E6760" w:rsidRPr="000C5CA4" w14:paraId="682A74B4"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5EF51E52"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Tuzla</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7C990F3F"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60,15%</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16EACD77"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39,85%</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48D8FF29"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60,85%</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47C192D3"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39,15%</w:t>
            </w:r>
          </w:p>
        </w:tc>
      </w:tr>
      <w:tr w:rsidR="008E6760" w:rsidRPr="000C5CA4" w14:paraId="1E8C0A22" w14:textId="77777777" w:rsidTr="007B11D8">
        <w:trPr>
          <w:trHeight w:val="20"/>
          <w:jc w:val="center"/>
        </w:trPr>
        <w:tc>
          <w:tcPr>
            <w:tcW w:w="0" w:type="auto"/>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3FCC053E" w14:textId="77777777" w:rsidR="008E6760" w:rsidRPr="000C5CA4" w:rsidRDefault="008E6760" w:rsidP="007C1F00">
            <w:pPr>
              <w:widowControl/>
              <w:tabs>
                <w:tab w:val="clear" w:pos="5103"/>
              </w:tabs>
              <w:autoSpaceDE/>
              <w:autoSpaceDN/>
              <w:spacing w:line="240" w:lineRule="auto"/>
              <w:ind w:right="0"/>
              <w:jc w:val="left"/>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Živinice</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10F1EBED"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66,12%</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2BF492C1"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33,88%</w:t>
            </w:r>
          </w:p>
        </w:tc>
        <w:tc>
          <w:tcPr>
            <w:tcW w:w="0" w:type="auto"/>
            <w:tcBorders>
              <w:top w:val="nil"/>
              <w:left w:val="nil"/>
              <w:bottom w:val="single" w:sz="4" w:space="0" w:color="auto"/>
              <w:right w:val="single" w:sz="4" w:space="0" w:color="auto"/>
            </w:tcBorders>
            <w:shd w:val="clear" w:color="auto" w:fill="FFF2CC" w:themeFill="accent4" w:themeFillTint="33"/>
            <w:noWrap/>
            <w:vAlign w:val="center"/>
            <w:hideMark/>
          </w:tcPr>
          <w:p w14:paraId="60AEBDAB"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67,69%</w:t>
            </w:r>
          </w:p>
        </w:tc>
        <w:tc>
          <w:tcPr>
            <w:tcW w:w="0" w:type="auto"/>
            <w:tcBorders>
              <w:top w:val="nil"/>
              <w:left w:val="nil"/>
              <w:bottom w:val="single" w:sz="4" w:space="0" w:color="auto"/>
              <w:right w:val="single" w:sz="4" w:space="0" w:color="auto"/>
            </w:tcBorders>
            <w:shd w:val="clear" w:color="auto" w:fill="D9E2F3" w:themeFill="accent5" w:themeFillTint="33"/>
            <w:noWrap/>
            <w:vAlign w:val="center"/>
            <w:hideMark/>
          </w:tcPr>
          <w:p w14:paraId="2AAF34DF" w14:textId="77777777" w:rsidR="008E6760" w:rsidRPr="000C5CA4" w:rsidRDefault="008E6760" w:rsidP="007C1F00">
            <w:pPr>
              <w:widowControl/>
              <w:tabs>
                <w:tab w:val="clear" w:pos="5103"/>
              </w:tabs>
              <w:autoSpaceDE/>
              <w:autoSpaceDN/>
              <w:spacing w:line="240" w:lineRule="auto"/>
              <w:ind w:right="0"/>
              <w:jc w:val="center"/>
              <w:rPr>
                <w:rFonts w:eastAsia="Times New Roman" w:cstheme="minorHAnsi"/>
                <w:color w:val="000000"/>
                <w:sz w:val="18"/>
                <w:szCs w:val="18"/>
                <w:lang w:val="en-US" w:eastAsia="en-US"/>
              </w:rPr>
            </w:pPr>
            <w:r w:rsidRPr="000C5CA4">
              <w:rPr>
                <w:rFonts w:eastAsia="Times New Roman" w:cstheme="minorHAnsi"/>
                <w:color w:val="000000"/>
                <w:sz w:val="18"/>
                <w:szCs w:val="18"/>
                <w:lang w:val="en-US" w:eastAsia="en-US"/>
              </w:rPr>
              <w:t>32,31%</w:t>
            </w:r>
          </w:p>
        </w:tc>
      </w:tr>
    </w:tbl>
    <w:p w14:paraId="50A30D77" w14:textId="24F7DBA2" w:rsidR="008E6760" w:rsidRPr="000C5CA4" w:rsidRDefault="008E6760" w:rsidP="008E6760">
      <w:pPr>
        <w:pStyle w:val="BodyText"/>
        <w:rPr>
          <w:rFonts w:cs="Arial"/>
          <w:sz w:val="22"/>
        </w:rPr>
      </w:pPr>
    </w:p>
    <w:p w14:paraId="1A4860BB" w14:textId="0ECEA9E4" w:rsidR="008E6760" w:rsidRPr="000C5CA4" w:rsidRDefault="008E6760" w:rsidP="008E6760">
      <w:pPr>
        <w:spacing w:line="276" w:lineRule="auto"/>
        <w:rPr>
          <w:rFonts w:eastAsia="Times New Roman"/>
          <w:sz w:val="22"/>
          <w:szCs w:val="20"/>
        </w:rPr>
      </w:pPr>
      <w:r w:rsidRPr="000C5CA4">
        <w:rPr>
          <w:rFonts w:eastAsia="Times New Roman"/>
          <w:sz w:val="22"/>
          <w:szCs w:val="20"/>
        </w:rPr>
        <w:t xml:space="preserve">Prema statističkim podacima JU Službe za zapošljavanje TK Tuzla u 2023. i 2024. godini </w:t>
      </w:r>
      <w:r w:rsidR="007B11D8" w:rsidRPr="000C5CA4">
        <w:rPr>
          <w:rFonts w:eastAsia="Times New Roman"/>
          <w:sz w:val="22"/>
          <w:szCs w:val="20"/>
        </w:rPr>
        <w:t>u svim biroima za zapošljavanje mnogo je više prijavljeno žena u odnosu na muškarce. N</w:t>
      </w:r>
      <w:r w:rsidRPr="000C5CA4">
        <w:rPr>
          <w:rFonts w:eastAsia="Times New Roman"/>
          <w:sz w:val="22"/>
          <w:szCs w:val="20"/>
        </w:rPr>
        <w:t xml:space="preserve">ajveća nezaposlenost žena je na Birou Banovići dok je na Birou Čelić najviše nezaposlenih muškaraca. </w:t>
      </w:r>
    </w:p>
    <w:p w14:paraId="2C849031" w14:textId="0540AF35" w:rsidR="007B11D8" w:rsidRPr="000C5CA4" w:rsidRDefault="007B11D8" w:rsidP="008E6760">
      <w:pPr>
        <w:spacing w:line="276" w:lineRule="auto"/>
        <w:rPr>
          <w:rFonts w:eastAsia="Times New Roman"/>
          <w:sz w:val="22"/>
          <w:szCs w:val="20"/>
        </w:rPr>
      </w:pPr>
      <w:r w:rsidRPr="000C5CA4">
        <w:rPr>
          <w:noProof/>
          <w:sz w:val="22"/>
          <w:szCs w:val="20"/>
          <w:lang w:eastAsia="bs-Latn-BA"/>
        </w:rPr>
        <w:drawing>
          <wp:inline distT="0" distB="0" distL="0" distR="0" wp14:anchorId="1D8E27FF" wp14:editId="5F386B59">
            <wp:extent cx="5724525" cy="263652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F9F7FB2" w14:textId="6D76C876" w:rsidR="00C71678" w:rsidRPr="000C5CA4" w:rsidRDefault="007B11D8" w:rsidP="00672AC4">
      <w:pPr>
        <w:pStyle w:val="BodyText"/>
        <w:rPr>
          <w:sz w:val="22"/>
          <w:szCs w:val="20"/>
        </w:rPr>
      </w:pPr>
      <w:r w:rsidRPr="000C5CA4">
        <w:rPr>
          <w:noProof/>
          <w:sz w:val="22"/>
          <w:szCs w:val="20"/>
          <w:lang w:eastAsia="bs-Latn-BA"/>
        </w:rPr>
        <w:lastRenderedPageBreak/>
        <w:drawing>
          <wp:inline distT="0" distB="0" distL="0" distR="0" wp14:anchorId="752DEF19" wp14:editId="315FE5F8">
            <wp:extent cx="5724525" cy="2468880"/>
            <wp:effectExtent l="0" t="0" r="0" b="76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C582F14" w14:textId="289BE160" w:rsidR="00742695" w:rsidRPr="000C5CA4" w:rsidRDefault="005C6CB3" w:rsidP="005C6CB3">
      <w:pPr>
        <w:pStyle w:val="BodyText"/>
        <w:rPr>
          <w:sz w:val="22"/>
          <w:szCs w:val="20"/>
        </w:rPr>
      </w:pPr>
      <w:r w:rsidRPr="000C5CA4">
        <w:rPr>
          <w:sz w:val="22"/>
          <w:szCs w:val="20"/>
        </w:rPr>
        <w:t xml:space="preserve">U </w:t>
      </w:r>
      <w:r w:rsidR="00D66F8B" w:rsidRPr="000C5CA4">
        <w:rPr>
          <w:sz w:val="22"/>
          <w:szCs w:val="20"/>
        </w:rPr>
        <w:t>2023. godini,</w:t>
      </w:r>
      <w:r w:rsidRPr="000C5CA4">
        <w:rPr>
          <w:sz w:val="22"/>
          <w:szCs w:val="20"/>
        </w:rPr>
        <w:t xml:space="preserve"> najviše nezaposlenih </w:t>
      </w:r>
      <w:r w:rsidR="00D66F8B" w:rsidRPr="000C5CA4">
        <w:rPr>
          <w:sz w:val="22"/>
          <w:szCs w:val="20"/>
        </w:rPr>
        <w:t xml:space="preserve">prema stručnoj spremi </w:t>
      </w:r>
      <w:r w:rsidRPr="000C5CA4">
        <w:rPr>
          <w:sz w:val="22"/>
          <w:szCs w:val="20"/>
        </w:rPr>
        <w:t xml:space="preserve">je nekvalifikovanih osoba, </w:t>
      </w:r>
      <w:r w:rsidR="00D66F8B" w:rsidRPr="000C5CA4">
        <w:rPr>
          <w:sz w:val="22"/>
          <w:szCs w:val="20"/>
        </w:rPr>
        <w:t xml:space="preserve">i to </w:t>
      </w:r>
      <w:r w:rsidRPr="000C5CA4">
        <w:rPr>
          <w:sz w:val="22"/>
          <w:szCs w:val="20"/>
        </w:rPr>
        <w:t>njih 21.879.</w:t>
      </w:r>
      <w:r w:rsidR="00D66F8B" w:rsidRPr="000C5CA4">
        <w:rPr>
          <w:sz w:val="22"/>
          <w:szCs w:val="20"/>
        </w:rPr>
        <w:t xml:space="preserve"> </w:t>
      </w:r>
      <w:r w:rsidRPr="000C5CA4">
        <w:rPr>
          <w:sz w:val="22"/>
          <w:szCs w:val="20"/>
        </w:rPr>
        <w:t>Ako poredimo spolnu strukturu najviše nezaposlenih žena ja sa NKV i to 14.269 dok</w:t>
      </w:r>
      <w:r w:rsidR="00D66F8B" w:rsidRPr="000C5CA4">
        <w:rPr>
          <w:sz w:val="22"/>
          <w:szCs w:val="20"/>
        </w:rPr>
        <w:t xml:space="preserve"> </w:t>
      </w:r>
      <w:r w:rsidRPr="000C5CA4">
        <w:rPr>
          <w:sz w:val="22"/>
          <w:szCs w:val="20"/>
        </w:rPr>
        <w:t>najveća nezaposlenost muškaraca po stručnoj spremi je KV i to 8.940.</w:t>
      </w:r>
      <w:r w:rsidR="003059A4" w:rsidRPr="000C5CA4">
        <w:rPr>
          <w:sz w:val="22"/>
          <w:szCs w:val="20"/>
        </w:rPr>
        <w:t xml:space="preserve"> </w:t>
      </w:r>
      <w:r w:rsidR="00742695" w:rsidRPr="000C5CA4">
        <w:rPr>
          <w:sz w:val="22"/>
          <w:szCs w:val="20"/>
        </w:rPr>
        <w:t>U 2024. godine najviše nezaposlenih je također bilo među nekvalifikovanim osobama, njih 20.840, a ukoliko poredimo spolnu strukturu najviše nezaposlenih žena ja sa NKV i to 13.657 dok najveća nezaposlenost muškaraca po stručnoj spremi među KV i to 8.239.</w:t>
      </w:r>
    </w:p>
    <w:p w14:paraId="170513F6" w14:textId="718C32D9" w:rsidR="00D66F8B" w:rsidRPr="000C5CA4" w:rsidRDefault="00D66F8B" w:rsidP="005C6CB3">
      <w:pPr>
        <w:pStyle w:val="BodyText"/>
        <w:rPr>
          <w:color w:val="FF0000"/>
          <w:sz w:val="22"/>
          <w:szCs w:val="20"/>
        </w:rPr>
      </w:pPr>
      <w:r w:rsidRPr="000C5CA4">
        <w:rPr>
          <w:noProof/>
          <w:sz w:val="22"/>
          <w:szCs w:val="20"/>
          <w:lang w:eastAsia="bs-Latn-BA"/>
        </w:rPr>
        <w:drawing>
          <wp:inline distT="0" distB="0" distL="0" distR="0" wp14:anchorId="2A87B1A9" wp14:editId="55F85E91">
            <wp:extent cx="5829300" cy="20955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DD0FE1C" w14:textId="25B13F22" w:rsidR="005C6CB3" w:rsidRPr="000C5CA4" w:rsidRDefault="005C6CB3" w:rsidP="005C6CB3">
      <w:pPr>
        <w:pStyle w:val="BodyText"/>
        <w:rPr>
          <w:color w:val="FF0000"/>
          <w:sz w:val="22"/>
          <w:szCs w:val="20"/>
        </w:rPr>
      </w:pPr>
    </w:p>
    <w:p w14:paraId="7777E885" w14:textId="56AA78E7" w:rsidR="00C71678" w:rsidRPr="000C5CA4" w:rsidRDefault="00742695" w:rsidP="00111437">
      <w:pPr>
        <w:pStyle w:val="BodyText"/>
        <w:rPr>
          <w:sz w:val="22"/>
          <w:szCs w:val="20"/>
        </w:rPr>
      </w:pPr>
      <w:r w:rsidRPr="000C5CA4">
        <w:rPr>
          <w:noProof/>
          <w:sz w:val="22"/>
          <w:szCs w:val="20"/>
          <w:lang w:eastAsia="bs-Latn-BA"/>
        </w:rPr>
        <w:drawing>
          <wp:inline distT="0" distB="0" distL="0" distR="0" wp14:anchorId="2A420AD5" wp14:editId="72CE3B8C">
            <wp:extent cx="5829300" cy="215646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7588D27" w14:textId="20D9D3AC" w:rsidR="00C71678" w:rsidRPr="000C5CA4" w:rsidRDefault="00C71678" w:rsidP="00111437">
      <w:pPr>
        <w:pStyle w:val="BodyText"/>
        <w:jc w:val="center"/>
        <w:rPr>
          <w:sz w:val="22"/>
          <w:szCs w:val="20"/>
        </w:rPr>
      </w:pPr>
      <w:r w:rsidRPr="000C5CA4">
        <w:rPr>
          <w:sz w:val="22"/>
          <w:szCs w:val="20"/>
        </w:rPr>
        <w:t>Izvor: Federalni zavod za zapošljavanje, Statistički pregled, Bilten</w:t>
      </w:r>
    </w:p>
    <w:p w14:paraId="67B07FD1" w14:textId="7A6237D0" w:rsidR="00150C57" w:rsidRPr="000C5CA4" w:rsidRDefault="00150C57" w:rsidP="00672AC4">
      <w:pPr>
        <w:pStyle w:val="BodyText"/>
        <w:rPr>
          <w:sz w:val="22"/>
          <w:szCs w:val="20"/>
        </w:rPr>
      </w:pPr>
    </w:p>
    <w:p w14:paraId="23D832FF" w14:textId="77777777" w:rsidR="0096661F" w:rsidRPr="000C5CA4" w:rsidRDefault="0096661F" w:rsidP="00140CE9">
      <w:pPr>
        <w:spacing w:line="276" w:lineRule="auto"/>
        <w:rPr>
          <w:rFonts w:eastAsia="Times New Roman"/>
          <w:sz w:val="22"/>
          <w:szCs w:val="20"/>
        </w:rPr>
      </w:pPr>
      <w:r w:rsidRPr="000C5CA4">
        <w:rPr>
          <w:rFonts w:eastAsia="Times New Roman"/>
          <w:sz w:val="22"/>
          <w:szCs w:val="20"/>
        </w:rPr>
        <w:t>U suradnji sa JU Služba za zapošljavanje TK kroz različite projekte organizovane su aktivnosti za preko 50 žena sa fokusom na smanjenje broja nezaposlenih žena.</w:t>
      </w:r>
    </w:p>
    <w:p w14:paraId="10F86353" w14:textId="77777777" w:rsidR="0096661F" w:rsidRPr="000C5CA4" w:rsidRDefault="0096661F" w:rsidP="00140CE9">
      <w:pPr>
        <w:spacing w:line="276" w:lineRule="auto"/>
        <w:ind w:right="6"/>
        <w:rPr>
          <w:sz w:val="22"/>
          <w:szCs w:val="20"/>
        </w:rPr>
      </w:pPr>
    </w:p>
    <w:p w14:paraId="37A476AD" w14:textId="6CE464B5" w:rsidR="00111437" w:rsidRDefault="00111437" w:rsidP="00140CE9">
      <w:pPr>
        <w:spacing w:line="276" w:lineRule="auto"/>
        <w:ind w:right="6"/>
        <w:rPr>
          <w:rFonts w:eastAsia="Times New Roman"/>
          <w:sz w:val="22"/>
          <w:szCs w:val="20"/>
        </w:rPr>
      </w:pPr>
      <w:r w:rsidRPr="000C5CA4">
        <w:rPr>
          <w:sz w:val="22"/>
          <w:szCs w:val="20"/>
        </w:rPr>
        <w:t xml:space="preserve">Prava iz oblasti zaštite porodice sa djecom realizirana su </w:t>
      </w:r>
      <w:r w:rsidRPr="000C5CA4">
        <w:rPr>
          <w:rFonts w:eastAsia="Times New Roman"/>
          <w:sz w:val="22"/>
          <w:szCs w:val="20"/>
        </w:rPr>
        <w:t>u skladu sa važećim zakonodavnim okvirom, i to: Zakonom o osnovama socijalne zaštite, zaštite civilnih žrtava rata i zaštite porodice sa djecom Federacije Bosne i Hercegovine („Službene novine Federacije BiH“, broj: 36/99, 54/04, 39/06, 14/09 i 17/11), Zakonom o materijalnoj podršci porodicama s djecom u Federaciji Bosne i Hercegovine („Službene novine Federacije BiH“, broj: 52/22), kao i Zakonom o socijalnoj zaštiti, zaštiti civilnih žrtava rata i zaštiti porodice sa djecom – prečišćeni tekst („Službene novine Tuzlanskog kantona“, broj: 5/12, 7/14, 11/15, 13/16, 4/18, 12/20, 22/21, 5/22, 8/22, 10/22, 14/22, 19/22 i 12/23), te drugim prečišćenim tekstom istog zakona („Službene novine Tuzlanskog kantona“, broj: 18/23).</w:t>
      </w:r>
    </w:p>
    <w:p w14:paraId="6BEC0832" w14:textId="77777777" w:rsidR="000C5CA4" w:rsidRPr="000C5CA4" w:rsidRDefault="000C5CA4" w:rsidP="00140CE9">
      <w:pPr>
        <w:spacing w:line="276" w:lineRule="auto"/>
        <w:ind w:right="6"/>
        <w:rPr>
          <w:rFonts w:eastAsia="Times New Roman"/>
          <w:sz w:val="22"/>
          <w:szCs w:val="20"/>
        </w:rPr>
      </w:pPr>
    </w:p>
    <w:p w14:paraId="254A53C8" w14:textId="77777777" w:rsidR="00D97CA2" w:rsidRPr="000C5CA4" w:rsidRDefault="00D97CA2" w:rsidP="00140CE9">
      <w:pPr>
        <w:pStyle w:val="BodyText"/>
        <w:spacing w:afterLines="160" w:after="384"/>
        <w:ind w:right="6"/>
        <w:rPr>
          <w:sz w:val="22"/>
          <w:szCs w:val="20"/>
        </w:rPr>
      </w:pPr>
      <w:r w:rsidRPr="000C5CA4">
        <w:rPr>
          <w:sz w:val="22"/>
          <w:szCs w:val="20"/>
        </w:rPr>
        <w:t>Na području Tuzlanskog kantona u periodu 2021–2024. godine realizovana su brojna prava iz domena novčanih davanja i socijalne podrške. Tokom 2023. i 2024. godine ostvareni su značajni pomaci, kako kroz unapređenje postojećih, tako i kroz uvođenje novih prava, uz evidentan porast korisnika i ukupno izdvojenih sredstava. Intenzivno su se razvijala i unapređivala prava iz oblasti zaštite porodice sa djecom, posebno ona koja se odnose na novčana davanja. Analiza podataka od 2021. do 2024. godine jasno pokazuje kontinuiran rast kako u broju korisnika ovih prava, tako i u iznosima sredstava izdvojenih iz budžeta za njihovu realizaciju.</w:t>
      </w:r>
    </w:p>
    <w:p w14:paraId="438463B6" w14:textId="4D1AD6E8" w:rsidR="00D97CA2" w:rsidRPr="000C5CA4" w:rsidRDefault="00D97CA2" w:rsidP="00140CE9">
      <w:pPr>
        <w:spacing w:afterLines="160" w:after="384" w:line="276" w:lineRule="auto"/>
        <w:ind w:right="6"/>
        <w:rPr>
          <w:sz w:val="22"/>
          <w:szCs w:val="20"/>
        </w:rPr>
      </w:pPr>
      <w:r w:rsidRPr="000C5CA4">
        <w:rPr>
          <w:sz w:val="22"/>
          <w:szCs w:val="20"/>
        </w:rPr>
        <w:t>U</w:t>
      </w:r>
      <w:r w:rsidR="00465C1A" w:rsidRPr="000C5CA4">
        <w:rPr>
          <w:sz w:val="22"/>
          <w:szCs w:val="20"/>
        </w:rPr>
        <w:t xml:space="preserve"> 2021. godini uočeni su </w:t>
      </w:r>
      <w:r w:rsidRPr="000C5CA4">
        <w:rPr>
          <w:sz w:val="22"/>
          <w:szCs w:val="20"/>
        </w:rPr>
        <w:t xml:space="preserve">pomaci u pristupu zaštiti porodice, kada je na ime novčanih prava isplaćeno ukupno </w:t>
      </w:r>
      <w:r w:rsidR="00465C1A" w:rsidRPr="000C5CA4">
        <w:rPr>
          <w:sz w:val="22"/>
          <w:szCs w:val="20"/>
        </w:rPr>
        <w:t>13.753.077,47</w:t>
      </w:r>
      <w:r w:rsidRPr="000C5CA4">
        <w:rPr>
          <w:sz w:val="22"/>
          <w:szCs w:val="20"/>
        </w:rPr>
        <w:t>KM. U 2022. godini, nakon usvajanja Zakona o izmjenama i dopunama Zakona o socijalnoj zaštiti (Službene novine TK, broj 5/22), taj iznos gotovo se udvostručio, dosegnuvši 26.366.075,43 KM. Istim zakonom uvedena su nova prava – poput dodatne novčane pomoći zaposlenoj i nezaposlenoj majci porodilji – čime je značajno proširen obuhvat i vrijednost podrške.</w:t>
      </w:r>
      <w:r w:rsidR="00465C1A" w:rsidRPr="000C5CA4">
        <w:rPr>
          <w:sz w:val="22"/>
          <w:szCs w:val="20"/>
        </w:rPr>
        <w:t xml:space="preserve"> </w:t>
      </w:r>
      <w:r w:rsidRPr="000C5CA4">
        <w:rPr>
          <w:sz w:val="22"/>
          <w:szCs w:val="20"/>
        </w:rPr>
        <w:t xml:space="preserve">U 2023. godini, trend rasta se nastavlja, pri čemu je za realizaciju svih prava iz oblasti zaštite porodice sa djecom isplaćeno čak </w:t>
      </w:r>
      <w:r w:rsidR="00465C1A" w:rsidRPr="000C5CA4">
        <w:rPr>
          <w:rStyle w:val="Strong"/>
          <w:b w:val="0"/>
          <w:sz w:val="22"/>
          <w:szCs w:val="20"/>
        </w:rPr>
        <w:t>42.084.875,81</w:t>
      </w:r>
      <w:r w:rsidRPr="000C5CA4">
        <w:rPr>
          <w:rStyle w:val="Strong"/>
          <w:b w:val="0"/>
          <w:sz w:val="22"/>
          <w:szCs w:val="20"/>
        </w:rPr>
        <w:t>KM</w:t>
      </w:r>
      <w:r w:rsidRPr="000C5CA4">
        <w:rPr>
          <w:b/>
          <w:sz w:val="22"/>
          <w:szCs w:val="20"/>
        </w:rPr>
        <w:t>,</w:t>
      </w:r>
      <w:r w:rsidRPr="000C5CA4">
        <w:rPr>
          <w:sz w:val="22"/>
          <w:szCs w:val="20"/>
        </w:rPr>
        <w:t xml:space="preserve"> što predstavlja povećanje od skoro 40% u odnosu na prethodnu godinu. Broj obrađenih zahtjeva također je znatno porastao – sa 10.652 u 2022. godini na 15.885 u 2023. godini.</w:t>
      </w:r>
      <w:r w:rsidR="00465C1A" w:rsidRPr="000C5CA4">
        <w:rPr>
          <w:sz w:val="22"/>
          <w:szCs w:val="20"/>
        </w:rPr>
        <w:t xml:space="preserve"> </w:t>
      </w:r>
      <w:r w:rsidRPr="000C5CA4">
        <w:rPr>
          <w:sz w:val="22"/>
          <w:szCs w:val="20"/>
        </w:rPr>
        <w:t>U 2024. godini nastavlja se konsolidacija ovih prava, a dodatno je proširen i spektar korisnika kroz implementaciju novih programa i poticaja. Ukupni iznosi za pojedina prava potvrđuju posvećenost institucija stvarnoj, materijalnoj podršci porodicama.</w:t>
      </w:r>
    </w:p>
    <w:p w14:paraId="110F40FF" w14:textId="59035FEC" w:rsidR="00D97CA2" w:rsidRPr="000C5CA4" w:rsidRDefault="00D97CA2" w:rsidP="00140CE9">
      <w:pPr>
        <w:pStyle w:val="NormalWeb"/>
        <w:spacing w:before="0" w:beforeAutospacing="0" w:afterLines="160" w:after="384" w:afterAutospacing="0" w:line="276" w:lineRule="auto"/>
        <w:ind w:right="6"/>
        <w:rPr>
          <w:rFonts w:asciiTheme="majorHAnsi" w:hAnsiTheme="majorHAnsi"/>
          <w:sz w:val="22"/>
          <w:szCs w:val="22"/>
          <w:lang w:val="pl-PL"/>
        </w:rPr>
      </w:pPr>
      <w:r w:rsidRPr="000C5CA4">
        <w:rPr>
          <w:rStyle w:val="Strong"/>
          <w:rFonts w:asciiTheme="majorHAnsi" w:hAnsiTheme="majorHAnsi"/>
          <w:b w:val="0"/>
          <w:sz w:val="22"/>
          <w:szCs w:val="22"/>
          <w:lang w:val="pl-PL"/>
        </w:rPr>
        <w:t>Naknada umjesto plaće za vrijeme porodiljskog odsustva</w:t>
      </w:r>
      <w:r w:rsidRPr="000C5CA4">
        <w:rPr>
          <w:rFonts w:asciiTheme="majorHAnsi" w:hAnsiTheme="majorHAnsi"/>
          <w:sz w:val="22"/>
          <w:szCs w:val="22"/>
          <w:lang w:val="pl-PL"/>
        </w:rPr>
        <w:t xml:space="preserve"> jedno je od najvažnijih prava za zaposlene majke. Tokom 2023. godine, </w:t>
      </w:r>
      <w:r w:rsidR="00465C1A" w:rsidRPr="000C5CA4">
        <w:rPr>
          <w:rFonts w:asciiTheme="majorHAnsi" w:hAnsiTheme="majorHAnsi"/>
          <w:sz w:val="22"/>
          <w:szCs w:val="22"/>
          <w:lang w:val="pl-PL"/>
        </w:rPr>
        <w:t>refundiran je</w:t>
      </w:r>
      <w:r w:rsidRPr="000C5CA4">
        <w:rPr>
          <w:rFonts w:asciiTheme="majorHAnsi" w:hAnsiTheme="majorHAnsi"/>
          <w:sz w:val="22"/>
          <w:szCs w:val="22"/>
          <w:lang w:val="pl-PL"/>
        </w:rPr>
        <w:t xml:space="preserve"> iznos u visini od 90% prosječne plaće zaposlenice u šestomjesečnom periodu prije porođaja, ili 55% prosječne plaće </w:t>
      </w:r>
      <w:r w:rsidR="00465C1A" w:rsidRPr="000C5CA4">
        <w:rPr>
          <w:rFonts w:asciiTheme="majorHAnsi" w:hAnsiTheme="majorHAnsi"/>
          <w:sz w:val="22"/>
          <w:szCs w:val="22"/>
          <w:lang w:val="pl-PL"/>
        </w:rPr>
        <w:t xml:space="preserve">u Tuzlanskom kantoonu u </w:t>
      </w:r>
      <w:r w:rsidRPr="000C5CA4">
        <w:rPr>
          <w:rFonts w:asciiTheme="majorHAnsi" w:hAnsiTheme="majorHAnsi"/>
          <w:sz w:val="22"/>
          <w:szCs w:val="22"/>
          <w:lang w:val="pl-PL"/>
        </w:rPr>
        <w:t xml:space="preserve">zavisnosti koja opcija je povoljnija za korisnicu. Na osnovu ovog prava u 2023. godini isplaćeno je </w:t>
      </w:r>
      <w:r w:rsidRPr="000C5CA4">
        <w:rPr>
          <w:rStyle w:val="Strong"/>
          <w:rFonts w:asciiTheme="majorHAnsi" w:hAnsiTheme="majorHAnsi"/>
          <w:b w:val="0"/>
          <w:sz w:val="22"/>
          <w:szCs w:val="22"/>
          <w:lang w:val="pl-PL"/>
        </w:rPr>
        <w:t>11.459.323,78KM</w:t>
      </w:r>
      <w:r w:rsidRPr="000C5CA4">
        <w:rPr>
          <w:rFonts w:asciiTheme="majorHAnsi" w:hAnsiTheme="majorHAnsi"/>
          <w:sz w:val="22"/>
          <w:szCs w:val="22"/>
          <w:lang w:val="pl-PL"/>
        </w:rPr>
        <w:t xml:space="preserve">, a pravo je ostvarilo </w:t>
      </w:r>
      <w:r w:rsidRPr="000C5CA4">
        <w:rPr>
          <w:rStyle w:val="Strong"/>
          <w:rFonts w:asciiTheme="majorHAnsi" w:hAnsiTheme="majorHAnsi"/>
          <w:b w:val="0"/>
          <w:sz w:val="22"/>
          <w:szCs w:val="22"/>
          <w:lang w:val="pl-PL"/>
        </w:rPr>
        <w:t>1.456 korisnica</w:t>
      </w:r>
      <w:r w:rsidRPr="000C5CA4">
        <w:rPr>
          <w:rFonts w:asciiTheme="majorHAnsi" w:hAnsiTheme="majorHAnsi"/>
          <w:sz w:val="22"/>
          <w:szCs w:val="22"/>
          <w:lang w:val="pl-PL"/>
        </w:rPr>
        <w:t>.</w:t>
      </w:r>
      <w:r w:rsidR="00465C1A" w:rsidRPr="000C5CA4">
        <w:rPr>
          <w:rFonts w:asciiTheme="majorHAnsi" w:hAnsiTheme="majorHAnsi"/>
          <w:sz w:val="22"/>
          <w:szCs w:val="22"/>
          <w:lang w:val="pl-PL"/>
        </w:rPr>
        <w:t xml:space="preserve"> </w:t>
      </w:r>
      <w:r w:rsidRPr="000C5CA4">
        <w:rPr>
          <w:rFonts w:asciiTheme="majorHAnsi" w:hAnsiTheme="majorHAnsi"/>
          <w:sz w:val="22"/>
          <w:szCs w:val="22"/>
          <w:lang w:val="pl-PL"/>
        </w:rPr>
        <w:t xml:space="preserve">Za </w:t>
      </w:r>
      <w:r w:rsidRPr="000C5CA4">
        <w:rPr>
          <w:rStyle w:val="Strong"/>
          <w:rFonts w:asciiTheme="majorHAnsi" w:hAnsiTheme="majorHAnsi"/>
          <w:b w:val="0"/>
          <w:sz w:val="22"/>
          <w:szCs w:val="22"/>
          <w:lang w:val="pl-PL"/>
        </w:rPr>
        <w:t>zaposlene majke porodilje</w:t>
      </w:r>
      <w:r w:rsidRPr="000C5CA4">
        <w:rPr>
          <w:rFonts w:asciiTheme="majorHAnsi" w:hAnsiTheme="majorHAnsi"/>
          <w:sz w:val="22"/>
          <w:szCs w:val="22"/>
          <w:lang w:val="pl-PL"/>
        </w:rPr>
        <w:t xml:space="preserve"> dodatno je uvedeno pravo na novčanu pomoć koja pokr</w:t>
      </w:r>
      <w:r w:rsidR="00465C1A" w:rsidRPr="000C5CA4">
        <w:rPr>
          <w:rFonts w:asciiTheme="majorHAnsi" w:hAnsiTheme="majorHAnsi"/>
          <w:sz w:val="22"/>
          <w:szCs w:val="22"/>
          <w:lang w:val="pl-PL"/>
        </w:rPr>
        <w:t>iva razliku do iznosa od 996,00</w:t>
      </w:r>
      <w:r w:rsidRPr="000C5CA4">
        <w:rPr>
          <w:rFonts w:asciiTheme="majorHAnsi" w:hAnsiTheme="majorHAnsi"/>
          <w:sz w:val="22"/>
          <w:szCs w:val="22"/>
          <w:lang w:val="pl-PL"/>
        </w:rPr>
        <w:t xml:space="preserve">KM. Ovo pravo uvedeno je od aprila 2022. godine, a samo u 2023. isplaćeno je </w:t>
      </w:r>
      <w:r w:rsidR="00465C1A" w:rsidRPr="000C5CA4">
        <w:rPr>
          <w:rStyle w:val="Strong"/>
          <w:rFonts w:asciiTheme="majorHAnsi" w:hAnsiTheme="majorHAnsi"/>
          <w:b w:val="0"/>
          <w:sz w:val="22"/>
          <w:szCs w:val="22"/>
          <w:lang w:val="pl-PL"/>
        </w:rPr>
        <w:t>3.251.333,12</w:t>
      </w:r>
      <w:r w:rsidRPr="000C5CA4">
        <w:rPr>
          <w:rStyle w:val="Strong"/>
          <w:rFonts w:asciiTheme="majorHAnsi" w:hAnsiTheme="majorHAnsi"/>
          <w:b w:val="0"/>
          <w:sz w:val="22"/>
          <w:szCs w:val="22"/>
          <w:lang w:val="pl-PL"/>
        </w:rPr>
        <w:t>KM</w:t>
      </w:r>
      <w:r w:rsidRPr="000C5CA4">
        <w:rPr>
          <w:rFonts w:asciiTheme="majorHAnsi" w:hAnsiTheme="majorHAnsi"/>
          <w:b/>
          <w:sz w:val="22"/>
          <w:szCs w:val="22"/>
          <w:lang w:val="pl-PL"/>
        </w:rPr>
        <w:t>.</w:t>
      </w:r>
    </w:p>
    <w:p w14:paraId="1263EC7C" w14:textId="77777777" w:rsidR="006C2D6D" w:rsidRPr="000C5CA4" w:rsidRDefault="00D97CA2" w:rsidP="00140CE9">
      <w:pPr>
        <w:spacing w:afterLines="160" w:after="384" w:line="276" w:lineRule="auto"/>
        <w:ind w:right="6"/>
        <w:rPr>
          <w:sz w:val="22"/>
          <w:szCs w:val="20"/>
        </w:rPr>
      </w:pPr>
      <w:r w:rsidRPr="000C5CA4">
        <w:rPr>
          <w:sz w:val="22"/>
          <w:szCs w:val="20"/>
        </w:rPr>
        <w:t xml:space="preserve">S druge strane, nezaposlene majke porodilje ostvaruju osnovnu novčanu pomoć u visini 55% najniže plaće u Federaciji BiH. Iznos je u 2022. godini iznosio 298,65 KM, a u 2023. godini 327,80 KM. </w:t>
      </w:r>
    </w:p>
    <w:p w14:paraId="74E9B0A8" w14:textId="35E60474" w:rsidR="00D97CA2" w:rsidRPr="000C5CA4" w:rsidRDefault="00D97CA2" w:rsidP="00140CE9">
      <w:pPr>
        <w:spacing w:afterLines="160" w:after="384" w:line="276" w:lineRule="auto"/>
        <w:ind w:right="6"/>
        <w:rPr>
          <w:sz w:val="22"/>
          <w:szCs w:val="20"/>
        </w:rPr>
      </w:pPr>
      <w:r w:rsidRPr="000C5CA4">
        <w:rPr>
          <w:sz w:val="22"/>
          <w:szCs w:val="20"/>
        </w:rPr>
        <w:t>Pravo je u 2023. ostvarilo 3.483 korisnice, a isplaćeno je 8.905.174,02 KM. U 2024. godini broj korisnica je dodatno porastao na 3.841, dok je isplaćeno 9.105.174,00 KM.</w:t>
      </w:r>
      <w:r w:rsidR="00465C1A" w:rsidRPr="000C5CA4">
        <w:rPr>
          <w:sz w:val="22"/>
          <w:szCs w:val="20"/>
        </w:rPr>
        <w:t xml:space="preserve"> </w:t>
      </w:r>
      <w:r w:rsidRPr="000C5CA4">
        <w:rPr>
          <w:sz w:val="22"/>
          <w:szCs w:val="20"/>
        </w:rPr>
        <w:t xml:space="preserve">Pored osnovne </w:t>
      </w:r>
      <w:r w:rsidRPr="000C5CA4">
        <w:rPr>
          <w:sz w:val="22"/>
          <w:szCs w:val="20"/>
        </w:rPr>
        <w:lastRenderedPageBreak/>
        <w:t>pomoći, nezaposlene porodilje imaju i pravo na dodatnu pomoć, koja je u 2023. godini iznosila 668,20 KM mjesečno. Na osnovu ove mjere, u 2023. godini isplaćeno je čak 16.169.302,27 KM, a u 2024. godini 16.235.694,85 KM. Kada se sabere osnovna i dodatna pomoć za nezaposlene majke u periodu od 2022. do 2024. godine, ukupan iznos izdvojen iznosi 71.809.998,00 KM.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743"/>
        <w:gridCol w:w="1822"/>
        <w:gridCol w:w="2300"/>
      </w:tblGrid>
      <w:tr w:rsidR="00465C1A" w:rsidRPr="000C5CA4" w14:paraId="77A6FC35" w14:textId="77777777" w:rsidTr="006C2D6D">
        <w:trPr>
          <w:trHeight w:val="20"/>
          <w:jc w:val="center"/>
        </w:trPr>
        <w:tc>
          <w:tcPr>
            <w:tcW w:w="0" w:type="auto"/>
            <w:shd w:val="clear" w:color="auto" w:fill="FFF2CC" w:themeFill="accent4" w:themeFillTint="33"/>
            <w:vAlign w:val="center"/>
            <w:hideMark/>
          </w:tcPr>
          <w:p w14:paraId="0B6AADC9" w14:textId="7AAB13B2" w:rsidR="00465C1A" w:rsidRPr="000C5CA4" w:rsidRDefault="00465C1A" w:rsidP="00465C1A">
            <w:pPr>
              <w:widowControl/>
              <w:tabs>
                <w:tab w:val="clear" w:pos="5103"/>
              </w:tabs>
              <w:autoSpaceDE/>
              <w:autoSpaceDN/>
              <w:spacing w:line="240" w:lineRule="auto"/>
              <w:ind w:right="0"/>
              <w:jc w:val="left"/>
              <w:rPr>
                <w:rFonts w:eastAsia="Times New Roman" w:cstheme="minorHAnsi"/>
                <w:color w:val="000000"/>
                <w:sz w:val="20"/>
                <w:szCs w:val="20"/>
                <w:lang w:val="en-US" w:eastAsia="en-US"/>
              </w:rPr>
            </w:pPr>
            <w:r w:rsidRPr="000C5CA4">
              <w:rPr>
                <w:rFonts w:eastAsia="Times New Roman"/>
                <w:bCs/>
                <w:sz w:val="22"/>
                <w:lang w:eastAsia="bs-Latn-BA"/>
              </w:rPr>
              <w:t>Godina</w:t>
            </w:r>
          </w:p>
        </w:tc>
        <w:tc>
          <w:tcPr>
            <w:tcW w:w="0" w:type="auto"/>
            <w:shd w:val="clear" w:color="auto" w:fill="FFF2CC" w:themeFill="accent4" w:themeFillTint="33"/>
            <w:noWrap/>
            <w:vAlign w:val="center"/>
            <w:hideMark/>
          </w:tcPr>
          <w:p w14:paraId="1699A2BB" w14:textId="264A7F77"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bCs/>
                <w:sz w:val="22"/>
                <w:lang w:eastAsia="bs-Latn-BA"/>
              </w:rPr>
              <w:t>Iznos pomoći</w:t>
            </w:r>
          </w:p>
        </w:tc>
        <w:tc>
          <w:tcPr>
            <w:tcW w:w="0" w:type="auto"/>
            <w:shd w:val="clear" w:color="auto" w:fill="FFF2CC" w:themeFill="accent4" w:themeFillTint="33"/>
            <w:noWrap/>
            <w:vAlign w:val="center"/>
            <w:hideMark/>
          </w:tcPr>
          <w:p w14:paraId="1F04A7F1" w14:textId="53CBF595"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bCs/>
                <w:sz w:val="22"/>
                <w:lang w:eastAsia="bs-Latn-BA"/>
              </w:rPr>
              <w:t>Broj korisnica</w:t>
            </w:r>
          </w:p>
        </w:tc>
        <w:tc>
          <w:tcPr>
            <w:tcW w:w="0" w:type="auto"/>
            <w:shd w:val="clear" w:color="auto" w:fill="FFF2CC" w:themeFill="accent4" w:themeFillTint="33"/>
            <w:noWrap/>
            <w:vAlign w:val="center"/>
            <w:hideMark/>
          </w:tcPr>
          <w:p w14:paraId="10AB9162" w14:textId="5A4F8A65"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bCs/>
                <w:sz w:val="22"/>
                <w:lang w:eastAsia="bs-Latn-BA"/>
              </w:rPr>
              <w:t>Ukupan iznos</w:t>
            </w:r>
          </w:p>
        </w:tc>
      </w:tr>
      <w:tr w:rsidR="003059A4" w:rsidRPr="000C5CA4" w14:paraId="6B020D88" w14:textId="77777777" w:rsidTr="00421A42">
        <w:trPr>
          <w:trHeight w:val="20"/>
          <w:jc w:val="center"/>
        </w:trPr>
        <w:tc>
          <w:tcPr>
            <w:tcW w:w="0" w:type="auto"/>
            <w:gridSpan w:val="4"/>
            <w:shd w:val="clear" w:color="auto" w:fill="8EAADB" w:themeFill="accent5" w:themeFillTint="99"/>
            <w:vAlign w:val="center"/>
          </w:tcPr>
          <w:p w14:paraId="7D88250B" w14:textId="7EDB1A91" w:rsidR="003059A4" w:rsidRPr="000C5CA4" w:rsidRDefault="003059A4" w:rsidP="00465C1A">
            <w:pPr>
              <w:widowControl/>
              <w:tabs>
                <w:tab w:val="clear" w:pos="5103"/>
              </w:tabs>
              <w:autoSpaceDE/>
              <w:autoSpaceDN/>
              <w:spacing w:line="240" w:lineRule="auto"/>
              <w:ind w:right="0"/>
              <w:jc w:val="center"/>
              <w:rPr>
                <w:rFonts w:eastAsia="Times New Roman"/>
                <w:bCs/>
                <w:sz w:val="22"/>
                <w:lang w:eastAsia="bs-Latn-BA"/>
              </w:rPr>
            </w:pPr>
            <w:r w:rsidRPr="000C5CA4">
              <w:rPr>
                <w:rFonts w:eastAsia="Times New Roman"/>
                <w:bCs/>
                <w:sz w:val="22"/>
                <w:lang w:eastAsia="bs-Latn-BA"/>
              </w:rPr>
              <w:t>Dodatna novčana pomoć nezaposlenoj majci porodilji – osnovna pomoć</w:t>
            </w:r>
          </w:p>
        </w:tc>
      </w:tr>
      <w:tr w:rsidR="00465C1A" w:rsidRPr="000C5CA4" w14:paraId="38055894" w14:textId="77777777" w:rsidTr="00465C1A">
        <w:trPr>
          <w:trHeight w:val="20"/>
          <w:jc w:val="center"/>
        </w:trPr>
        <w:tc>
          <w:tcPr>
            <w:tcW w:w="0" w:type="auto"/>
            <w:shd w:val="clear" w:color="auto" w:fill="8EAADB" w:themeFill="accent5" w:themeFillTint="99"/>
            <w:vAlign w:val="center"/>
            <w:hideMark/>
          </w:tcPr>
          <w:p w14:paraId="5C266986" w14:textId="2514D467" w:rsidR="00465C1A" w:rsidRPr="000C5CA4" w:rsidRDefault="00465C1A" w:rsidP="006C2D6D">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2022</w:t>
            </w:r>
          </w:p>
        </w:tc>
        <w:tc>
          <w:tcPr>
            <w:tcW w:w="0" w:type="auto"/>
            <w:shd w:val="clear" w:color="auto" w:fill="FFF2CC" w:themeFill="accent4" w:themeFillTint="33"/>
            <w:noWrap/>
            <w:vAlign w:val="center"/>
            <w:hideMark/>
          </w:tcPr>
          <w:p w14:paraId="48AB25A7" w14:textId="4FF23B95"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298,65 KM</w:t>
            </w:r>
          </w:p>
        </w:tc>
        <w:tc>
          <w:tcPr>
            <w:tcW w:w="0" w:type="auto"/>
            <w:shd w:val="clear" w:color="auto" w:fill="D9E2F3" w:themeFill="accent5" w:themeFillTint="33"/>
            <w:noWrap/>
            <w:vAlign w:val="center"/>
            <w:hideMark/>
          </w:tcPr>
          <w:p w14:paraId="68D047B0" w14:textId="4DD9F99D"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810</w:t>
            </w:r>
          </w:p>
        </w:tc>
        <w:tc>
          <w:tcPr>
            <w:tcW w:w="0" w:type="auto"/>
            <w:shd w:val="clear" w:color="auto" w:fill="FFF2CC" w:themeFill="accent4" w:themeFillTint="33"/>
            <w:noWrap/>
            <w:vAlign w:val="center"/>
            <w:hideMark/>
          </w:tcPr>
          <w:p w14:paraId="195B2AD8" w14:textId="0D35DA21" w:rsidR="00465C1A" w:rsidRPr="000C5CA4" w:rsidRDefault="006C2D6D"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5</w:t>
            </w:r>
            <w:r w:rsidR="00465C1A" w:rsidRPr="000C5CA4">
              <w:rPr>
                <w:rFonts w:eastAsia="Times New Roman"/>
                <w:sz w:val="22"/>
                <w:lang w:eastAsia="bs-Latn-BA"/>
              </w:rPr>
              <w:t>.999.650,60 KM</w:t>
            </w:r>
          </w:p>
        </w:tc>
      </w:tr>
      <w:tr w:rsidR="00465C1A" w:rsidRPr="000C5CA4" w14:paraId="46D7AEE0" w14:textId="77777777" w:rsidTr="00465C1A">
        <w:trPr>
          <w:trHeight w:val="20"/>
          <w:jc w:val="center"/>
        </w:trPr>
        <w:tc>
          <w:tcPr>
            <w:tcW w:w="0" w:type="auto"/>
            <w:shd w:val="clear" w:color="auto" w:fill="8EAADB" w:themeFill="accent5" w:themeFillTint="99"/>
            <w:vAlign w:val="center"/>
            <w:hideMark/>
          </w:tcPr>
          <w:p w14:paraId="4023F27E" w14:textId="47B75582" w:rsidR="00465C1A" w:rsidRPr="000C5CA4" w:rsidRDefault="00465C1A" w:rsidP="006C2D6D">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2023</w:t>
            </w:r>
          </w:p>
        </w:tc>
        <w:tc>
          <w:tcPr>
            <w:tcW w:w="0" w:type="auto"/>
            <w:shd w:val="clear" w:color="auto" w:fill="FFF2CC" w:themeFill="accent4" w:themeFillTint="33"/>
            <w:noWrap/>
            <w:vAlign w:val="center"/>
            <w:hideMark/>
          </w:tcPr>
          <w:p w14:paraId="3E1AA59D" w14:textId="58AE5E5C"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327,80 KM</w:t>
            </w:r>
          </w:p>
        </w:tc>
        <w:tc>
          <w:tcPr>
            <w:tcW w:w="0" w:type="auto"/>
            <w:shd w:val="clear" w:color="auto" w:fill="D9E2F3" w:themeFill="accent5" w:themeFillTint="33"/>
            <w:noWrap/>
            <w:vAlign w:val="center"/>
            <w:hideMark/>
          </w:tcPr>
          <w:p w14:paraId="1F5049B6" w14:textId="691E0029"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3.483</w:t>
            </w:r>
          </w:p>
        </w:tc>
        <w:tc>
          <w:tcPr>
            <w:tcW w:w="0" w:type="auto"/>
            <w:shd w:val="clear" w:color="auto" w:fill="FFF2CC" w:themeFill="accent4" w:themeFillTint="33"/>
            <w:noWrap/>
            <w:vAlign w:val="center"/>
            <w:hideMark/>
          </w:tcPr>
          <w:p w14:paraId="66287E24" w14:textId="755C1569"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8.905.174,02 KM</w:t>
            </w:r>
          </w:p>
        </w:tc>
      </w:tr>
      <w:tr w:rsidR="00465C1A" w:rsidRPr="000C5CA4" w14:paraId="30FD3F3B" w14:textId="77777777" w:rsidTr="00465C1A">
        <w:trPr>
          <w:trHeight w:val="20"/>
          <w:jc w:val="center"/>
        </w:trPr>
        <w:tc>
          <w:tcPr>
            <w:tcW w:w="0" w:type="auto"/>
            <w:shd w:val="clear" w:color="auto" w:fill="8EAADB" w:themeFill="accent5" w:themeFillTint="99"/>
            <w:noWrap/>
            <w:vAlign w:val="center"/>
            <w:hideMark/>
          </w:tcPr>
          <w:p w14:paraId="5B5C935A" w14:textId="0051DE59" w:rsidR="00465C1A" w:rsidRPr="000C5CA4" w:rsidRDefault="00465C1A" w:rsidP="006C2D6D">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2024</w:t>
            </w:r>
          </w:p>
        </w:tc>
        <w:tc>
          <w:tcPr>
            <w:tcW w:w="0" w:type="auto"/>
            <w:shd w:val="clear" w:color="auto" w:fill="FFF2CC" w:themeFill="accent4" w:themeFillTint="33"/>
            <w:noWrap/>
            <w:vAlign w:val="center"/>
            <w:hideMark/>
          </w:tcPr>
          <w:p w14:paraId="098DC495" w14:textId="22CE5944"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327,80 KM</w:t>
            </w:r>
          </w:p>
        </w:tc>
        <w:tc>
          <w:tcPr>
            <w:tcW w:w="0" w:type="auto"/>
            <w:shd w:val="clear" w:color="auto" w:fill="D9E2F3" w:themeFill="accent5" w:themeFillTint="33"/>
            <w:noWrap/>
            <w:vAlign w:val="center"/>
            <w:hideMark/>
          </w:tcPr>
          <w:p w14:paraId="1EBB3649" w14:textId="6BCD01AE"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3.841</w:t>
            </w:r>
          </w:p>
        </w:tc>
        <w:tc>
          <w:tcPr>
            <w:tcW w:w="0" w:type="auto"/>
            <w:shd w:val="clear" w:color="auto" w:fill="FFF2CC" w:themeFill="accent4" w:themeFillTint="33"/>
            <w:noWrap/>
            <w:vAlign w:val="center"/>
            <w:hideMark/>
          </w:tcPr>
          <w:p w14:paraId="0F1E642A" w14:textId="016EC8B6" w:rsidR="00465C1A" w:rsidRPr="000C5CA4" w:rsidRDefault="00465C1A" w:rsidP="00465C1A">
            <w:pPr>
              <w:widowControl/>
              <w:tabs>
                <w:tab w:val="clear" w:pos="5103"/>
              </w:tabs>
              <w:autoSpaceDE/>
              <w:autoSpaceDN/>
              <w:spacing w:line="240" w:lineRule="auto"/>
              <w:ind w:right="0"/>
              <w:jc w:val="center"/>
              <w:rPr>
                <w:rFonts w:eastAsia="Times New Roman" w:cstheme="minorHAnsi"/>
                <w:color w:val="000000"/>
                <w:sz w:val="20"/>
                <w:szCs w:val="20"/>
                <w:lang w:val="en-US" w:eastAsia="en-US"/>
              </w:rPr>
            </w:pPr>
            <w:r w:rsidRPr="000C5CA4">
              <w:rPr>
                <w:rFonts w:eastAsia="Times New Roman"/>
                <w:sz w:val="22"/>
                <w:lang w:eastAsia="bs-Latn-BA"/>
              </w:rPr>
              <w:t>9.105.174,00 KM</w:t>
            </w:r>
          </w:p>
        </w:tc>
      </w:tr>
      <w:tr w:rsidR="003059A4" w:rsidRPr="000C5CA4" w14:paraId="1683C91F" w14:textId="77777777" w:rsidTr="00421A42">
        <w:trPr>
          <w:trHeight w:val="20"/>
          <w:jc w:val="center"/>
        </w:trPr>
        <w:tc>
          <w:tcPr>
            <w:tcW w:w="0" w:type="auto"/>
            <w:gridSpan w:val="4"/>
            <w:shd w:val="clear" w:color="auto" w:fill="8EAADB" w:themeFill="accent5" w:themeFillTint="99"/>
            <w:noWrap/>
            <w:vAlign w:val="center"/>
          </w:tcPr>
          <w:p w14:paraId="1D7B193C" w14:textId="6E18BA79" w:rsidR="003059A4" w:rsidRPr="000C5CA4" w:rsidRDefault="003059A4" w:rsidP="006C2D6D">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bCs/>
                <w:sz w:val="22"/>
                <w:lang w:eastAsia="bs-Latn-BA"/>
              </w:rPr>
              <w:t>Dodatna novčana pomoć nez</w:t>
            </w:r>
            <w:r w:rsidR="006C2D6D" w:rsidRPr="000C5CA4">
              <w:rPr>
                <w:rFonts w:eastAsia="Times New Roman"/>
                <w:bCs/>
                <w:sz w:val="22"/>
                <w:lang w:eastAsia="bs-Latn-BA"/>
              </w:rPr>
              <w:t>aposlenoj majci porodilji</w:t>
            </w:r>
          </w:p>
        </w:tc>
      </w:tr>
      <w:tr w:rsidR="003059A4" w:rsidRPr="000C5CA4" w14:paraId="1ADFD98F" w14:textId="77777777" w:rsidTr="00465C1A">
        <w:trPr>
          <w:trHeight w:val="20"/>
          <w:jc w:val="center"/>
        </w:trPr>
        <w:tc>
          <w:tcPr>
            <w:tcW w:w="0" w:type="auto"/>
            <w:shd w:val="clear" w:color="auto" w:fill="8EAADB" w:themeFill="accent5" w:themeFillTint="99"/>
            <w:noWrap/>
            <w:vAlign w:val="center"/>
          </w:tcPr>
          <w:p w14:paraId="1988EEED" w14:textId="339ED487" w:rsidR="003059A4" w:rsidRPr="000C5CA4" w:rsidRDefault="003059A4" w:rsidP="006C2D6D">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2022</w:t>
            </w:r>
          </w:p>
        </w:tc>
        <w:tc>
          <w:tcPr>
            <w:tcW w:w="0" w:type="auto"/>
            <w:shd w:val="clear" w:color="auto" w:fill="FFF2CC" w:themeFill="accent4" w:themeFillTint="33"/>
            <w:noWrap/>
            <w:vAlign w:val="center"/>
          </w:tcPr>
          <w:p w14:paraId="3542C015" w14:textId="6F4C1D4D" w:rsidR="003059A4" w:rsidRPr="000C5CA4" w:rsidRDefault="003059A4" w:rsidP="003059A4">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697,35 KM</w:t>
            </w:r>
          </w:p>
        </w:tc>
        <w:tc>
          <w:tcPr>
            <w:tcW w:w="0" w:type="auto"/>
            <w:shd w:val="clear" w:color="auto" w:fill="D9E2F3" w:themeFill="accent5" w:themeFillTint="33"/>
            <w:noWrap/>
            <w:vAlign w:val="center"/>
          </w:tcPr>
          <w:p w14:paraId="5CCFB221" w14:textId="560D0BA5" w:rsidR="003059A4" w:rsidRPr="000C5CA4" w:rsidRDefault="003059A4" w:rsidP="003059A4">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810</w:t>
            </w:r>
          </w:p>
        </w:tc>
        <w:tc>
          <w:tcPr>
            <w:tcW w:w="0" w:type="auto"/>
            <w:shd w:val="clear" w:color="auto" w:fill="FFF2CC" w:themeFill="accent4" w:themeFillTint="33"/>
            <w:noWrap/>
            <w:vAlign w:val="center"/>
          </w:tcPr>
          <w:p w14:paraId="26F1874A" w14:textId="72C4E3C8" w:rsidR="003059A4" w:rsidRPr="000C5CA4" w:rsidRDefault="003059A4" w:rsidP="003059A4">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 xml:space="preserve">3.000.000,00 KM </w:t>
            </w:r>
          </w:p>
        </w:tc>
      </w:tr>
      <w:tr w:rsidR="003059A4" w:rsidRPr="000C5CA4" w14:paraId="55D5F5FB" w14:textId="77777777" w:rsidTr="00465C1A">
        <w:trPr>
          <w:trHeight w:val="20"/>
          <w:jc w:val="center"/>
        </w:trPr>
        <w:tc>
          <w:tcPr>
            <w:tcW w:w="0" w:type="auto"/>
            <w:shd w:val="clear" w:color="auto" w:fill="8EAADB" w:themeFill="accent5" w:themeFillTint="99"/>
            <w:noWrap/>
            <w:vAlign w:val="center"/>
          </w:tcPr>
          <w:p w14:paraId="4AE0C922" w14:textId="723391FF" w:rsidR="003059A4" w:rsidRPr="000C5CA4" w:rsidRDefault="003059A4" w:rsidP="006C2D6D">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2023</w:t>
            </w:r>
          </w:p>
        </w:tc>
        <w:tc>
          <w:tcPr>
            <w:tcW w:w="0" w:type="auto"/>
            <w:shd w:val="clear" w:color="auto" w:fill="FFF2CC" w:themeFill="accent4" w:themeFillTint="33"/>
            <w:noWrap/>
            <w:vAlign w:val="center"/>
          </w:tcPr>
          <w:p w14:paraId="2C90EC1B" w14:textId="3F74E5F0" w:rsidR="003059A4" w:rsidRPr="000C5CA4" w:rsidRDefault="003059A4" w:rsidP="003059A4">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668,20 KM</w:t>
            </w:r>
          </w:p>
        </w:tc>
        <w:tc>
          <w:tcPr>
            <w:tcW w:w="0" w:type="auto"/>
            <w:shd w:val="clear" w:color="auto" w:fill="D9E2F3" w:themeFill="accent5" w:themeFillTint="33"/>
            <w:noWrap/>
            <w:vAlign w:val="center"/>
          </w:tcPr>
          <w:p w14:paraId="4EBE8E9E" w14:textId="02A5FD3C" w:rsidR="003059A4" w:rsidRPr="000C5CA4" w:rsidRDefault="003059A4" w:rsidP="003059A4">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3.483</w:t>
            </w:r>
          </w:p>
        </w:tc>
        <w:tc>
          <w:tcPr>
            <w:tcW w:w="0" w:type="auto"/>
            <w:shd w:val="clear" w:color="auto" w:fill="FFF2CC" w:themeFill="accent4" w:themeFillTint="33"/>
            <w:noWrap/>
            <w:vAlign w:val="center"/>
          </w:tcPr>
          <w:p w14:paraId="7F720FD2" w14:textId="34F0A07E" w:rsidR="003059A4" w:rsidRPr="000C5CA4" w:rsidRDefault="003059A4" w:rsidP="003059A4">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16.169.302,27 KM</w:t>
            </w:r>
          </w:p>
        </w:tc>
      </w:tr>
      <w:tr w:rsidR="003059A4" w:rsidRPr="000C5CA4" w14:paraId="482A9419" w14:textId="77777777" w:rsidTr="00465C1A">
        <w:trPr>
          <w:trHeight w:val="20"/>
          <w:jc w:val="center"/>
        </w:trPr>
        <w:tc>
          <w:tcPr>
            <w:tcW w:w="0" w:type="auto"/>
            <w:shd w:val="clear" w:color="auto" w:fill="8EAADB" w:themeFill="accent5" w:themeFillTint="99"/>
            <w:noWrap/>
            <w:vAlign w:val="center"/>
          </w:tcPr>
          <w:p w14:paraId="2313423B" w14:textId="0E49D660" w:rsidR="003059A4" w:rsidRPr="000C5CA4" w:rsidRDefault="003059A4" w:rsidP="006C2D6D">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2024</w:t>
            </w:r>
          </w:p>
        </w:tc>
        <w:tc>
          <w:tcPr>
            <w:tcW w:w="0" w:type="auto"/>
            <w:shd w:val="clear" w:color="auto" w:fill="FFF2CC" w:themeFill="accent4" w:themeFillTint="33"/>
            <w:noWrap/>
            <w:vAlign w:val="center"/>
          </w:tcPr>
          <w:p w14:paraId="34E093AC" w14:textId="41B1C7C3" w:rsidR="003059A4" w:rsidRPr="000C5CA4" w:rsidRDefault="003059A4" w:rsidP="003059A4">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668,20 KM</w:t>
            </w:r>
          </w:p>
        </w:tc>
        <w:tc>
          <w:tcPr>
            <w:tcW w:w="0" w:type="auto"/>
            <w:shd w:val="clear" w:color="auto" w:fill="D9E2F3" w:themeFill="accent5" w:themeFillTint="33"/>
            <w:noWrap/>
            <w:vAlign w:val="center"/>
          </w:tcPr>
          <w:p w14:paraId="268DF6D7" w14:textId="5C496818" w:rsidR="003059A4" w:rsidRPr="000C5CA4" w:rsidRDefault="003059A4" w:rsidP="003059A4">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3.841</w:t>
            </w:r>
          </w:p>
        </w:tc>
        <w:tc>
          <w:tcPr>
            <w:tcW w:w="0" w:type="auto"/>
            <w:shd w:val="clear" w:color="auto" w:fill="FFF2CC" w:themeFill="accent4" w:themeFillTint="33"/>
            <w:noWrap/>
            <w:vAlign w:val="center"/>
          </w:tcPr>
          <w:p w14:paraId="2F436947" w14:textId="072B3BE9" w:rsidR="003059A4" w:rsidRPr="000C5CA4" w:rsidRDefault="003059A4" w:rsidP="003059A4">
            <w:pPr>
              <w:widowControl/>
              <w:tabs>
                <w:tab w:val="clear" w:pos="5103"/>
              </w:tabs>
              <w:autoSpaceDE/>
              <w:autoSpaceDN/>
              <w:spacing w:line="240" w:lineRule="auto"/>
              <w:ind w:right="0"/>
              <w:jc w:val="center"/>
              <w:rPr>
                <w:rFonts w:eastAsia="Times New Roman"/>
                <w:sz w:val="22"/>
                <w:lang w:eastAsia="bs-Latn-BA"/>
              </w:rPr>
            </w:pPr>
            <w:r w:rsidRPr="000C5CA4">
              <w:rPr>
                <w:rFonts w:eastAsia="Times New Roman"/>
                <w:sz w:val="22"/>
                <w:lang w:eastAsia="bs-Latn-BA"/>
              </w:rPr>
              <w:t>16.235.694,85 KM</w:t>
            </w:r>
          </w:p>
        </w:tc>
      </w:tr>
    </w:tbl>
    <w:p w14:paraId="45AB7181" w14:textId="77777777" w:rsidR="00D97CA2" w:rsidRPr="000C5CA4" w:rsidRDefault="00D97CA2" w:rsidP="00D97CA2">
      <w:pPr>
        <w:pStyle w:val="NormalWeb"/>
        <w:rPr>
          <w:rFonts w:asciiTheme="majorHAnsi" w:hAnsiTheme="majorHAnsi"/>
          <w:sz w:val="22"/>
          <w:szCs w:val="22"/>
          <w:lang w:val="it-IT"/>
        </w:rPr>
      </w:pPr>
      <w:r w:rsidRPr="000C5CA4">
        <w:rPr>
          <w:rFonts w:asciiTheme="majorHAnsi" w:hAnsiTheme="majorHAnsi"/>
          <w:sz w:val="22"/>
          <w:szCs w:val="22"/>
          <w:lang w:val="it-IT"/>
        </w:rPr>
        <w:t xml:space="preserve">Tokom 2023. godine uvedena su i </w:t>
      </w:r>
      <w:r w:rsidRPr="000C5CA4">
        <w:rPr>
          <w:rStyle w:val="Strong"/>
          <w:rFonts w:asciiTheme="majorHAnsi" w:hAnsiTheme="majorHAnsi"/>
          <w:b w:val="0"/>
          <w:sz w:val="22"/>
          <w:szCs w:val="22"/>
          <w:lang w:val="it-IT"/>
        </w:rPr>
        <w:t>dva nova prava</w:t>
      </w:r>
      <w:r w:rsidRPr="000C5CA4">
        <w:rPr>
          <w:rFonts w:asciiTheme="majorHAnsi" w:hAnsiTheme="majorHAnsi"/>
          <w:sz w:val="22"/>
          <w:szCs w:val="22"/>
          <w:lang w:val="it-IT"/>
        </w:rPr>
        <w:t>:</w:t>
      </w:r>
    </w:p>
    <w:p w14:paraId="5D2E4CB6" w14:textId="77777777" w:rsidR="00D97CA2" w:rsidRPr="000C5CA4" w:rsidRDefault="00D97CA2" w:rsidP="00D97CA2">
      <w:pPr>
        <w:pStyle w:val="NormalWeb"/>
        <w:numPr>
          <w:ilvl w:val="0"/>
          <w:numId w:val="35"/>
        </w:numPr>
        <w:tabs>
          <w:tab w:val="clear" w:pos="5103"/>
        </w:tabs>
        <w:spacing w:line="240" w:lineRule="auto"/>
        <w:ind w:right="0"/>
        <w:jc w:val="left"/>
        <w:rPr>
          <w:rFonts w:asciiTheme="majorHAnsi" w:hAnsiTheme="majorHAnsi"/>
          <w:sz w:val="22"/>
          <w:szCs w:val="22"/>
          <w:lang w:val="it-IT"/>
        </w:rPr>
      </w:pPr>
      <w:r w:rsidRPr="000C5CA4">
        <w:rPr>
          <w:rFonts w:asciiTheme="majorHAnsi" w:hAnsiTheme="majorHAnsi"/>
          <w:sz w:val="22"/>
          <w:szCs w:val="22"/>
          <w:lang w:val="it-IT"/>
        </w:rPr>
        <w:t>novčana pomoć licima sa smetnjama u fizičkom ili psihičkom razvoju, te</w:t>
      </w:r>
    </w:p>
    <w:p w14:paraId="5441BCB4" w14:textId="77777777" w:rsidR="00D97CA2" w:rsidRPr="000C5CA4" w:rsidRDefault="00D97CA2" w:rsidP="00D97CA2">
      <w:pPr>
        <w:pStyle w:val="NormalWeb"/>
        <w:numPr>
          <w:ilvl w:val="0"/>
          <w:numId w:val="35"/>
        </w:numPr>
        <w:tabs>
          <w:tab w:val="clear" w:pos="5103"/>
        </w:tabs>
        <w:spacing w:line="240" w:lineRule="auto"/>
        <w:ind w:right="0"/>
        <w:jc w:val="left"/>
        <w:rPr>
          <w:rFonts w:asciiTheme="majorHAnsi" w:hAnsiTheme="majorHAnsi"/>
          <w:sz w:val="22"/>
          <w:szCs w:val="22"/>
          <w:lang w:val="pl-PL"/>
        </w:rPr>
      </w:pPr>
      <w:r w:rsidRPr="000C5CA4">
        <w:rPr>
          <w:rFonts w:asciiTheme="majorHAnsi" w:hAnsiTheme="majorHAnsi"/>
          <w:sz w:val="22"/>
          <w:szCs w:val="22"/>
          <w:lang w:val="pl-PL"/>
        </w:rPr>
        <w:t>novčana pomoć za djecu oboljelu od celijakije, TBC, leukemije, karcinoma i šećerne bolesti.</w:t>
      </w:r>
    </w:p>
    <w:p w14:paraId="78F13661" w14:textId="77777777" w:rsidR="00D97CA2" w:rsidRPr="000C5CA4" w:rsidRDefault="00D97CA2" w:rsidP="003059A4">
      <w:pPr>
        <w:rPr>
          <w:sz w:val="22"/>
          <w:szCs w:val="20"/>
        </w:rPr>
      </w:pPr>
      <w:r w:rsidRPr="000C5CA4">
        <w:rPr>
          <w:sz w:val="22"/>
          <w:szCs w:val="20"/>
        </w:rPr>
        <w:t>Također, u istom periodu, program subvencioniranja troškova prijevoza učenika i studenata postao je zakonsko pravo i od 3. augusta 2023. godine implementira se kao trajna mjera podrške.</w:t>
      </w:r>
    </w:p>
    <w:p w14:paraId="58C02424" w14:textId="77777777" w:rsidR="00D97CA2" w:rsidRPr="000C5CA4" w:rsidRDefault="00D97CA2" w:rsidP="003059A4">
      <w:pPr>
        <w:rPr>
          <w:sz w:val="22"/>
          <w:szCs w:val="20"/>
        </w:rPr>
      </w:pPr>
      <w:r w:rsidRPr="000C5CA4">
        <w:rPr>
          <w:sz w:val="22"/>
          <w:szCs w:val="20"/>
        </w:rPr>
        <w:t>U oblasti predškolskog odgoja, Ministarstvo za kulturu, sport i mlade TK je u 2024. godini putem javnog poziva dodijelilo 189.000,00 KM za subvencioniranje troškova boravka djece u predškolskim ustanovama.</w:t>
      </w:r>
    </w:p>
    <w:p w14:paraId="10099E48" w14:textId="77777777" w:rsidR="00D97CA2" w:rsidRPr="000C5CA4" w:rsidRDefault="00D97CA2" w:rsidP="00D97CA2">
      <w:pPr>
        <w:pStyle w:val="NormalWeb"/>
        <w:rPr>
          <w:rFonts w:asciiTheme="majorHAnsi" w:hAnsiTheme="majorHAnsi"/>
          <w:sz w:val="22"/>
          <w:szCs w:val="22"/>
          <w:lang w:val="pl-PL"/>
        </w:rPr>
      </w:pPr>
      <w:r w:rsidRPr="000C5CA4">
        <w:rPr>
          <w:rFonts w:asciiTheme="majorHAnsi" w:hAnsiTheme="majorHAnsi"/>
          <w:sz w:val="22"/>
          <w:szCs w:val="22"/>
          <w:lang w:val="pl-PL"/>
        </w:rPr>
        <w:t>Tokom 2023. i 2024. godine, izrađene su i dostavljene detaljne informacije Federalnom ministarstvu rada i socijalne politike (akt br. 09/1-31-2032-23 od 14.02.2023. i akt br. 09/1-31-3397-24 od 07.03.2024.). Informacije su sadržavale pregled stanja, broj korisnika, iznose isplata po osnovu svakog prava, kao i mjesečne prosječne isplate po korisniku.</w:t>
      </w:r>
    </w:p>
    <w:p w14:paraId="5C09E9C6" w14:textId="77777777" w:rsidR="00D97CA2" w:rsidRPr="000C5CA4" w:rsidRDefault="00D97CA2" w:rsidP="003059A4">
      <w:pPr>
        <w:rPr>
          <w:sz w:val="22"/>
          <w:szCs w:val="20"/>
        </w:rPr>
      </w:pPr>
      <w:r w:rsidRPr="000C5CA4">
        <w:rPr>
          <w:sz w:val="22"/>
          <w:szCs w:val="20"/>
        </w:rPr>
        <w:t>U sklopu izvještavanja, izrađena je i Analiza primjene prava na porodiljsko/roditeljsko odsustvo, u kojoj je analiziran napredak u visini naknada u odnosu na međunarodne standarde. Komparativna analiza pokazala je da TK ima najvišu visinu naknade u poređenju s ostalim kantonima, što ukazuje na jasno opredjeljenje za sistemsku podršku porodici.</w:t>
      </w:r>
    </w:p>
    <w:p w14:paraId="3912CC1B" w14:textId="257B3492" w:rsidR="00D97CA2" w:rsidRPr="000C5CA4" w:rsidRDefault="003059A4" w:rsidP="00D97CA2">
      <w:pPr>
        <w:pStyle w:val="NormalWeb"/>
        <w:rPr>
          <w:rFonts w:asciiTheme="majorHAnsi" w:hAnsiTheme="majorHAnsi"/>
          <w:sz w:val="22"/>
          <w:szCs w:val="22"/>
          <w:lang w:val="bs-Latn-BA"/>
        </w:rPr>
      </w:pPr>
      <w:r w:rsidRPr="000C5CA4">
        <w:rPr>
          <w:rFonts w:asciiTheme="majorHAnsi" w:hAnsiTheme="majorHAnsi"/>
          <w:sz w:val="22"/>
          <w:szCs w:val="22"/>
          <w:lang w:val="bs-Latn-BA"/>
        </w:rPr>
        <w:t>P</w:t>
      </w:r>
      <w:r w:rsidR="00D97CA2" w:rsidRPr="000C5CA4">
        <w:rPr>
          <w:rFonts w:asciiTheme="majorHAnsi" w:hAnsiTheme="majorHAnsi"/>
          <w:sz w:val="22"/>
          <w:szCs w:val="22"/>
          <w:lang w:val="bs-Latn-BA"/>
        </w:rPr>
        <w:t>eriod 2021–2024. obilježen je snažnim institucionalnim i finansijskim jačanjem podrške porodicama sa djecom u Tuzlanskom kantonu. Uz zakonodavne reforme, uvedena su nova prava, unaprijeđena postojeća, te povećani budžetski izdaci u ovoj oblasti. Kontinuirani rast broja korisnika i iznosa koji se izdvajaju na godišnjem nivou potvrđuju posvećenost vlasti da podrže porodice u socijalnom, zdravstvenom i obrazovnom segmentu, te da odgovore na savremene izazove s kojima se susreću građani.</w:t>
      </w:r>
    </w:p>
    <w:p w14:paraId="758775DB" w14:textId="39E8E574" w:rsidR="00A651C3" w:rsidRPr="000C5CA4" w:rsidRDefault="00A651C3" w:rsidP="00672AC4">
      <w:pPr>
        <w:spacing w:line="276" w:lineRule="auto"/>
        <w:rPr>
          <w:sz w:val="22"/>
          <w:szCs w:val="20"/>
        </w:rPr>
      </w:pPr>
    </w:p>
    <w:p w14:paraId="465CDDDA" w14:textId="40F9C9A5" w:rsidR="00ED28FE" w:rsidRPr="000C5CA4" w:rsidRDefault="00ED28FE" w:rsidP="00672AC4">
      <w:pPr>
        <w:pStyle w:val="Heading3"/>
        <w:rPr>
          <w:sz w:val="22"/>
          <w:szCs w:val="20"/>
        </w:rPr>
      </w:pPr>
      <w:bookmarkStart w:id="28" w:name="_Toc73392275"/>
      <w:bookmarkStart w:id="29" w:name="_Toc74118439"/>
      <w:bookmarkStart w:id="30" w:name="_Toc79420460"/>
      <w:bookmarkStart w:id="31" w:name="_Toc200303206"/>
      <w:r w:rsidRPr="000C5CA4">
        <w:rPr>
          <w:sz w:val="22"/>
          <w:szCs w:val="20"/>
        </w:rPr>
        <w:t>Obrazovanje</w:t>
      </w:r>
      <w:bookmarkEnd w:id="28"/>
      <w:bookmarkEnd w:id="29"/>
      <w:bookmarkEnd w:id="30"/>
      <w:bookmarkEnd w:id="31"/>
    </w:p>
    <w:p w14:paraId="73B7CCFC" w14:textId="77777777" w:rsidR="00ED28FE" w:rsidRPr="000C5CA4" w:rsidRDefault="00ED28FE" w:rsidP="00672AC4">
      <w:pPr>
        <w:spacing w:line="276" w:lineRule="auto"/>
        <w:rPr>
          <w:sz w:val="22"/>
          <w:szCs w:val="20"/>
        </w:rPr>
      </w:pPr>
      <w:r w:rsidRPr="000C5CA4">
        <w:rPr>
          <w:sz w:val="22"/>
          <w:szCs w:val="20"/>
        </w:rPr>
        <w:t xml:space="preserve">Obrazovanje je jedan od najvažnijih uslova za postizanje ravnopravnosti spolova, a posebno u vremenu kada postoji potreba za kontinuiranim obrazovanjem i stručnim usavršavanjem nezavisno od dobi. U BiH i dalje postoje rodne razlike u obrazovanju u smislu odabira područja </w:t>
      </w:r>
      <w:r w:rsidRPr="000C5CA4">
        <w:rPr>
          <w:sz w:val="22"/>
          <w:szCs w:val="20"/>
        </w:rPr>
        <w:lastRenderedPageBreak/>
        <w:t>studiranja, kao i razlika u stopama završavanja srednjih škola, upisnosti i završavanja fakulteta.</w:t>
      </w:r>
    </w:p>
    <w:p w14:paraId="560A7282" w14:textId="758DD694" w:rsidR="00FF7FEE" w:rsidRPr="000C5CA4" w:rsidRDefault="00FF7FEE" w:rsidP="00672AC4">
      <w:pPr>
        <w:spacing w:line="276" w:lineRule="auto"/>
        <w:rPr>
          <w:sz w:val="22"/>
          <w:szCs w:val="20"/>
        </w:rPr>
      </w:pPr>
    </w:p>
    <w:p w14:paraId="1FA74FF0" w14:textId="6B89DCC5" w:rsidR="00B03F97" w:rsidRPr="000C5CA4" w:rsidRDefault="00ED28FE" w:rsidP="00672AC4">
      <w:pPr>
        <w:spacing w:line="276" w:lineRule="auto"/>
        <w:rPr>
          <w:rStyle w:val="markedcontent"/>
          <w:sz w:val="22"/>
          <w:szCs w:val="20"/>
        </w:rPr>
      </w:pPr>
      <w:bookmarkStart w:id="32" w:name="_Toc79420461"/>
      <w:r w:rsidRPr="000C5CA4">
        <w:rPr>
          <w:sz w:val="22"/>
          <w:szCs w:val="20"/>
        </w:rPr>
        <w:t xml:space="preserve">Na području </w:t>
      </w:r>
      <w:r w:rsidR="00D421FF" w:rsidRPr="000C5CA4">
        <w:rPr>
          <w:sz w:val="22"/>
          <w:szCs w:val="20"/>
        </w:rPr>
        <w:t>Tuzlanskog kantona</w:t>
      </w:r>
      <w:r w:rsidRPr="000C5CA4">
        <w:rPr>
          <w:sz w:val="22"/>
          <w:szCs w:val="20"/>
        </w:rPr>
        <w:t xml:space="preserve">, </w:t>
      </w:r>
      <w:r w:rsidR="00421A42" w:rsidRPr="000C5CA4">
        <w:rPr>
          <w:sz w:val="22"/>
          <w:szCs w:val="20"/>
        </w:rPr>
        <w:t>prema podacima Federalnog zavoda za statistiku, u</w:t>
      </w:r>
      <w:r w:rsidRPr="000C5CA4">
        <w:rPr>
          <w:sz w:val="22"/>
          <w:szCs w:val="20"/>
        </w:rPr>
        <w:t xml:space="preserve"> školsk</w:t>
      </w:r>
      <w:r w:rsidR="00421A42" w:rsidRPr="000C5CA4">
        <w:rPr>
          <w:sz w:val="22"/>
          <w:szCs w:val="20"/>
        </w:rPr>
        <w:t>oj 2024/2025. godini je</w:t>
      </w:r>
      <w:r w:rsidR="00FF7FEE" w:rsidRPr="000C5CA4">
        <w:rPr>
          <w:sz w:val="22"/>
          <w:szCs w:val="20"/>
        </w:rPr>
        <w:t xml:space="preserve"> </w:t>
      </w:r>
      <w:r w:rsidR="006B2A90" w:rsidRPr="000C5CA4">
        <w:rPr>
          <w:sz w:val="22"/>
          <w:szCs w:val="20"/>
        </w:rPr>
        <w:t>3</w:t>
      </w:r>
      <w:r w:rsidR="00421A42" w:rsidRPr="000C5CA4">
        <w:rPr>
          <w:sz w:val="22"/>
          <w:szCs w:val="20"/>
        </w:rPr>
        <w:t>7</w:t>
      </w:r>
      <w:r w:rsidR="006B2A90" w:rsidRPr="000C5CA4">
        <w:rPr>
          <w:sz w:val="22"/>
          <w:szCs w:val="20"/>
        </w:rPr>
        <w:t xml:space="preserve"> (javnih 23 i privatnih 14)</w:t>
      </w:r>
      <w:r w:rsidR="00FF7FEE" w:rsidRPr="000C5CA4">
        <w:rPr>
          <w:sz w:val="22"/>
          <w:szCs w:val="20"/>
        </w:rPr>
        <w:t xml:space="preserve"> predškolskih</w:t>
      </w:r>
      <w:r w:rsidRPr="000C5CA4">
        <w:rPr>
          <w:sz w:val="22"/>
          <w:szCs w:val="20"/>
        </w:rPr>
        <w:t xml:space="preserve"> ustanove,</w:t>
      </w:r>
      <w:r w:rsidR="00092A21" w:rsidRPr="000C5CA4">
        <w:rPr>
          <w:sz w:val="22"/>
          <w:szCs w:val="20"/>
        </w:rPr>
        <w:t xml:space="preserve"> </w:t>
      </w:r>
      <w:bookmarkStart w:id="33" w:name="_Toc79420462"/>
      <w:bookmarkEnd w:id="32"/>
      <w:r w:rsidR="00421A42" w:rsidRPr="000C5CA4">
        <w:rPr>
          <w:sz w:val="22"/>
          <w:szCs w:val="20"/>
        </w:rPr>
        <w:t>u kojima je 3</w:t>
      </w:r>
      <w:r w:rsidR="00056E63" w:rsidRPr="000C5CA4">
        <w:rPr>
          <w:sz w:val="22"/>
          <w:szCs w:val="20"/>
        </w:rPr>
        <w:t>.936</w:t>
      </w:r>
      <w:r w:rsidR="00421A42" w:rsidRPr="000C5CA4">
        <w:rPr>
          <w:sz w:val="22"/>
          <w:szCs w:val="20"/>
        </w:rPr>
        <w:t xml:space="preserve"> polaznik, od čega je 1.</w:t>
      </w:r>
      <w:r w:rsidR="00056E63" w:rsidRPr="000C5CA4">
        <w:rPr>
          <w:sz w:val="22"/>
          <w:szCs w:val="20"/>
        </w:rPr>
        <w:t>855</w:t>
      </w:r>
      <w:r w:rsidR="00421A42" w:rsidRPr="000C5CA4">
        <w:rPr>
          <w:sz w:val="22"/>
          <w:szCs w:val="20"/>
        </w:rPr>
        <w:t xml:space="preserve"> djevojčica (4</w:t>
      </w:r>
      <w:r w:rsidR="00056E63" w:rsidRPr="000C5CA4">
        <w:rPr>
          <w:sz w:val="22"/>
          <w:szCs w:val="20"/>
        </w:rPr>
        <w:t>7</w:t>
      </w:r>
      <w:r w:rsidR="00421A42" w:rsidRPr="000C5CA4">
        <w:rPr>
          <w:sz w:val="22"/>
          <w:szCs w:val="20"/>
        </w:rPr>
        <w:t>%).</w:t>
      </w:r>
      <w:r w:rsidR="00672AC4" w:rsidRPr="000C5CA4">
        <w:rPr>
          <w:sz w:val="22"/>
          <w:szCs w:val="20"/>
        </w:rPr>
        <w:t xml:space="preserve"> </w:t>
      </w:r>
      <w:r w:rsidR="00757E87" w:rsidRPr="000C5CA4">
        <w:rPr>
          <w:sz w:val="22"/>
          <w:szCs w:val="20"/>
        </w:rPr>
        <w:t>U odnosu na 2021. godinu, u</w:t>
      </w:r>
      <w:r w:rsidR="00B03F97" w:rsidRPr="000C5CA4">
        <w:rPr>
          <w:rStyle w:val="markedcontent"/>
          <w:sz w:val="22"/>
          <w:szCs w:val="20"/>
        </w:rPr>
        <w:t xml:space="preserve"> općinama Čelić, Sapna</w:t>
      </w:r>
      <w:r w:rsidR="00F214E2" w:rsidRPr="000C5CA4">
        <w:rPr>
          <w:rStyle w:val="markedcontent"/>
          <w:sz w:val="22"/>
          <w:szCs w:val="20"/>
        </w:rPr>
        <w:t>, Kalesija</w:t>
      </w:r>
      <w:r w:rsidR="00B03F97" w:rsidRPr="000C5CA4">
        <w:rPr>
          <w:rStyle w:val="markedcontent"/>
          <w:sz w:val="22"/>
          <w:szCs w:val="20"/>
        </w:rPr>
        <w:t xml:space="preserve"> i Teo</w:t>
      </w:r>
      <w:r w:rsidR="00092A21" w:rsidRPr="000C5CA4">
        <w:rPr>
          <w:rStyle w:val="markedcontent"/>
          <w:sz w:val="22"/>
          <w:szCs w:val="20"/>
        </w:rPr>
        <w:t xml:space="preserve">čak </w:t>
      </w:r>
      <w:r w:rsidR="00757E87" w:rsidRPr="000C5CA4">
        <w:rPr>
          <w:rStyle w:val="markedcontent"/>
          <w:sz w:val="22"/>
          <w:szCs w:val="20"/>
        </w:rPr>
        <w:t xml:space="preserve">još uvijek </w:t>
      </w:r>
      <w:r w:rsidR="00092A21" w:rsidRPr="000C5CA4">
        <w:rPr>
          <w:rStyle w:val="markedcontent"/>
          <w:sz w:val="22"/>
          <w:szCs w:val="20"/>
        </w:rPr>
        <w:t xml:space="preserve">nema </w:t>
      </w:r>
      <w:r w:rsidR="00757E87" w:rsidRPr="000C5CA4">
        <w:rPr>
          <w:rStyle w:val="markedcontent"/>
          <w:sz w:val="22"/>
          <w:szCs w:val="20"/>
        </w:rPr>
        <w:t xml:space="preserve">javnih </w:t>
      </w:r>
      <w:r w:rsidR="00092A21" w:rsidRPr="000C5CA4">
        <w:rPr>
          <w:rStyle w:val="markedcontent"/>
          <w:sz w:val="22"/>
          <w:szCs w:val="20"/>
        </w:rPr>
        <w:t>predškolskih ustanova</w:t>
      </w:r>
      <w:r w:rsidR="00757E87" w:rsidRPr="000C5CA4">
        <w:rPr>
          <w:rStyle w:val="markedcontent"/>
          <w:sz w:val="22"/>
          <w:szCs w:val="20"/>
        </w:rPr>
        <w:t>, međutim odobrena su sredstva i planirana je izgradnja javnih vrtića u Sapni, Kalesiji i Teočaku</w:t>
      </w:r>
      <w:r w:rsidR="00B03F97" w:rsidRPr="000C5CA4">
        <w:rPr>
          <w:rStyle w:val="markedcontent"/>
          <w:sz w:val="22"/>
          <w:szCs w:val="20"/>
        </w:rPr>
        <w:t>.</w:t>
      </w:r>
      <w:bookmarkEnd w:id="33"/>
    </w:p>
    <w:p w14:paraId="4BF74363" w14:textId="353CC7CD" w:rsidR="000644BC" w:rsidRPr="000C5CA4" w:rsidRDefault="00757E87" w:rsidP="00DE5EEB">
      <w:pPr>
        <w:spacing w:line="276" w:lineRule="auto"/>
        <w:rPr>
          <w:sz w:val="22"/>
          <w:szCs w:val="20"/>
        </w:rPr>
      </w:pPr>
      <w:r w:rsidRPr="000C5CA4">
        <w:rPr>
          <w:noProof/>
          <w:sz w:val="22"/>
          <w:szCs w:val="20"/>
          <w:lang w:eastAsia="bs-Latn-BA"/>
        </w:rPr>
        <w:drawing>
          <wp:inline distT="0" distB="0" distL="0" distR="0" wp14:anchorId="09ECD4FC" wp14:editId="10F25654">
            <wp:extent cx="5924550" cy="1981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Start w:id="34" w:name="_Toc79420463"/>
    </w:p>
    <w:p w14:paraId="1BF75139" w14:textId="26D7A1BD" w:rsidR="00757E87" w:rsidRPr="000C5CA4" w:rsidRDefault="000644BC" w:rsidP="00757E87">
      <w:pPr>
        <w:spacing w:line="276" w:lineRule="auto"/>
        <w:jc w:val="center"/>
        <w:rPr>
          <w:sz w:val="22"/>
          <w:szCs w:val="20"/>
        </w:rPr>
      </w:pPr>
      <w:r w:rsidRPr="000C5CA4">
        <w:rPr>
          <w:noProof/>
          <w:sz w:val="22"/>
          <w:szCs w:val="20"/>
          <w:lang w:eastAsia="bs-Latn-BA"/>
        </w:rPr>
        <w:drawing>
          <wp:inline distT="0" distB="0" distL="0" distR="0" wp14:anchorId="2ABE9D81" wp14:editId="3AAAC168">
            <wp:extent cx="5556250" cy="2552700"/>
            <wp:effectExtent l="0" t="0" r="63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0C5CA4">
        <w:rPr>
          <w:sz w:val="22"/>
          <w:szCs w:val="20"/>
        </w:rPr>
        <w:t xml:space="preserve"> </w:t>
      </w:r>
      <w:r w:rsidR="00757E87" w:rsidRPr="000C5CA4">
        <w:rPr>
          <w:sz w:val="22"/>
          <w:szCs w:val="20"/>
        </w:rPr>
        <w:t>Izvor: Federalni zavod za statistiku, Predškolsko obrazovanje 2024/2025</w:t>
      </w:r>
    </w:p>
    <w:p w14:paraId="7D3D9437" w14:textId="77777777" w:rsidR="000644BC" w:rsidRPr="000C5CA4" w:rsidRDefault="000644BC" w:rsidP="00672AC4">
      <w:pPr>
        <w:spacing w:line="276" w:lineRule="auto"/>
        <w:rPr>
          <w:sz w:val="22"/>
          <w:szCs w:val="20"/>
        </w:rPr>
      </w:pPr>
    </w:p>
    <w:bookmarkEnd w:id="34"/>
    <w:p w14:paraId="40858D7D" w14:textId="3F172832" w:rsidR="006B2A90" w:rsidRPr="000C5CA4" w:rsidRDefault="006B2A90" w:rsidP="006B2A90">
      <w:pPr>
        <w:rPr>
          <w:sz w:val="22"/>
          <w:szCs w:val="20"/>
        </w:rPr>
      </w:pPr>
      <w:r w:rsidRPr="000C5CA4">
        <w:rPr>
          <w:sz w:val="22"/>
          <w:szCs w:val="20"/>
          <w:shd w:val="clear" w:color="auto" w:fill="FFFFFF"/>
        </w:rPr>
        <w:t>Program obaveznog predškolskog odgoja namijenjen je onim učenicima koji su upisali prvi razred osnovne škole, a do tada nisu pohađali niti jedan vid predškolskog odgoja i obrazovanja. Program provode javne predškolske ustanove i u tom smislu im podršku pružaju osnovne škole na principu prostora i drugih segmenata koji su potrebni. Ove godine je upisano oko 3300 učenika, a u obavezan program je uključeno oko 2100 učenika</w:t>
      </w:r>
      <w:r w:rsidRPr="000C5CA4">
        <w:rPr>
          <w:sz w:val="22"/>
          <w:szCs w:val="20"/>
        </w:rPr>
        <w:t>.</w:t>
      </w:r>
      <w:r w:rsidRPr="000C5CA4">
        <w:rPr>
          <w:rStyle w:val="FootnoteReference"/>
          <w:sz w:val="22"/>
          <w:szCs w:val="20"/>
        </w:rPr>
        <w:footnoteReference w:id="10"/>
      </w:r>
    </w:p>
    <w:p w14:paraId="19F5D226" w14:textId="77777777" w:rsidR="006B2A90" w:rsidRPr="000C5CA4" w:rsidRDefault="006B2A90" w:rsidP="00672AC4">
      <w:pPr>
        <w:spacing w:line="276" w:lineRule="auto"/>
        <w:rPr>
          <w:sz w:val="22"/>
          <w:szCs w:val="20"/>
        </w:rPr>
      </w:pPr>
    </w:p>
    <w:p w14:paraId="4E203BC0" w14:textId="3435A79B" w:rsidR="00ED28FE" w:rsidRPr="000C5CA4" w:rsidRDefault="00ED28FE" w:rsidP="00672AC4">
      <w:pPr>
        <w:spacing w:line="276" w:lineRule="auto"/>
        <w:rPr>
          <w:sz w:val="22"/>
          <w:szCs w:val="20"/>
        </w:rPr>
      </w:pPr>
      <w:r w:rsidRPr="000C5CA4">
        <w:rPr>
          <w:sz w:val="22"/>
          <w:szCs w:val="20"/>
        </w:rPr>
        <w:t xml:space="preserve">Pored činjenice da je predškolski odgoj jedan od temelja za uspjeh u nastavku obrazovanja i temelj razvoja svake osobe uključivanje djece u vrtiće je jedan od preduslova za uključivanje roditelja na tržište rada. To se posebno odnosi na majke djece kojima se, u skladu sa trenutnim društvenim okolnostima, povjerava briga o djeci. Zaposleni u predškolskim ustanovama u </w:t>
      </w:r>
      <w:r w:rsidR="00D421FF" w:rsidRPr="000C5CA4">
        <w:rPr>
          <w:sz w:val="22"/>
          <w:szCs w:val="20"/>
        </w:rPr>
        <w:t xml:space="preserve">Tuzlanskog kantona </w:t>
      </w:r>
      <w:r w:rsidRPr="000C5CA4">
        <w:rPr>
          <w:sz w:val="22"/>
          <w:szCs w:val="20"/>
        </w:rPr>
        <w:t xml:space="preserve">su osobe ženskog spola koje čine preko </w:t>
      </w:r>
      <w:r w:rsidR="00527567" w:rsidRPr="000C5CA4">
        <w:rPr>
          <w:sz w:val="22"/>
          <w:szCs w:val="20"/>
        </w:rPr>
        <w:t>9</w:t>
      </w:r>
      <w:r w:rsidR="00056E63" w:rsidRPr="000C5CA4">
        <w:rPr>
          <w:sz w:val="22"/>
          <w:szCs w:val="20"/>
        </w:rPr>
        <w:t>4</w:t>
      </w:r>
      <w:r w:rsidRPr="000C5CA4">
        <w:rPr>
          <w:sz w:val="22"/>
          <w:szCs w:val="20"/>
        </w:rPr>
        <w:t>% svih zaposlenih.</w:t>
      </w:r>
    </w:p>
    <w:p w14:paraId="096BC6CB" w14:textId="77777777" w:rsidR="008A4E51" w:rsidRPr="000C5CA4" w:rsidRDefault="008A4E51" w:rsidP="00672AC4">
      <w:pPr>
        <w:spacing w:line="276" w:lineRule="auto"/>
        <w:rPr>
          <w:sz w:val="22"/>
          <w:szCs w:val="20"/>
        </w:rPr>
      </w:pPr>
    </w:p>
    <w:p w14:paraId="2D7166FC" w14:textId="661BAD04" w:rsidR="00575FE6" w:rsidRPr="000C5CA4" w:rsidRDefault="00ED28FE" w:rsidP="00672AC4">
      <w:pPr>
        <w:pStyle w:val="BodyText"/>
        <w:rPr>
          <w:sz w:val="22"/>
          <w:szCs w:val="20"/>
        </w:rPr>
      </w:pPr>
      <w:r w:rsidRPr="000C5CA4">
        <w:rPr>
          <w:sz w:val="22"/>
          <w:szCs w:val="20"/>
        </w:rPr>
        <w:t xml:space="preserve"> </w:t>
      </w:r>
      <w:r w:rsidR="008A4E51" w:rsidRPr="000C5CA4">
        <w:rPr>
          <w:sz w:val="22"/>
          <w:szCs w:val="20"/>
        </w:rPr>
        <w:t>Broj učenika upisanih u osnovne škole u Tuzlanskom kantonu je u blagom padu ukoliko se posmatraju podaci od 2021/2022. do 2024/2025. školske godine.</w:t>
      </w:r>
    </w:p>
    <w:p w14:paraId="4EC951FC" w14:textId="77777777" w:rsidR="003D6580" w:rsidRPr="000C5CA4" w:rsidRDefault="003D6580" w:rsidP="00672AC4">
      <w:pPr>
        <w:pStyle w:val="BodyText"/>
        <w:rPr>
          <w:sz w:val="22"/>
          <w:szCs w:val="20"/>
        </w:rPr>
      </w:pPr>
    </w:p>
    <w:p w14:paraId="76062DE5" w14:textId="77777777" w:rsidR="003D6580" w:rsidRPr="000C5CA4" w:rsidRDefault="003D6580" w:rsidP="003D6580">
      <w:pPr>
        <w:spacing w:line="276" w:lineRule="auto"/>
        <w:rPr>
          <w:sz w:val="22"/>
          <w:szCs w:val="20"/>
        </w:rPr>
      </w:pPr>
      <w:r w:rsidRPr="000C5CA4">
        <w:rPr>
          <w:sz w:val="22"/>
          <w:szCs w:val="20"/>
        </w:rPr>
        <w:t xml:space="preserve">U odnosu na 2020/2021. školsku godinu, odnos učenika i učenica upisanih u osnovne škole se nije u mnogome promijenio. I dalje je u osnovnom obrazovanju upisano nešto više dječaka u odnosu na djevojćice (2,31% u korist dječaka u školskoj 2024/2025. godini). Ova spolna distribucija odgovara učešću dječaka i djevojčica u ukupnoj strukturi stanovništva TK. Općenito gledano u BiH postoji rodni paritet u osnovnom obrazovanju što potvrđuju i ovi podaci. </w:t>
      </w:r>
    </w:p>
    <w:p w14:paraId="53F4EBC8" w14:textId="77777777" w:rsidR="003D6580" w:rsidRPr="000C5CA4" w:rsidRDefault="003D6580" w:rsidP="00672AC4">
      <w:pPr>
        <w:pStyle w:val="BodyText"/>
        <w:rPr>
          <w:sz w:val="22"/>
          <w:szCs w:val="20"/>
        </w:rPr>
      </w:pPr>
    </w:p>
    <w:p w14:paraId="7408E7BF" w14:textId="37406143" w:rsidR="00FE2E66" w:rsidRPr="000C5CA4" w:rsidRDefault="008A4E51" w:rsidP="00672AC4">
      <w:pPr>
        <w:spacing w:line="276" w:lineRule="auto"/>
        <w:rPr>
          <w:sz w:val="22"/>
          <w:szCs w:val="20"/>
        </w:rPr>
        <w:sectPr w:rsidR="00FE2E66" w:rsidRPr="000C5CA4" w:rsidSect="006567BE">
          <w:headerReference w:type="default" r:id="rId32"/>
          <w:footerReference w:type="default" r:id="rId33"/>
          <w:footerReference w:type="first" r:id="rId34"/>
          <w:type w:val="continuous"/>
          <w:pgSz w:w="11910" w:h="16840"/>
          <w:pgMar w:top="1440" w:right="1440" w:bottom="1247" w:left="1440" w:header="680" w:footer="510" w:gutter="0"/>
          <w:cols w:space="720"/>
          <w:titlePg/>
          <w:docGrid w:linePitch="299"/>
        </w:sectPr>
      </w:pPr>
      <w:r w:rsidRPr="000C5CA4">
        <w:rPr>
          <w:noProof/>
          <w:sz w:val="22"/>
          <w:szCs w:val="20"/>
          <w:lang w:eastAsia="bs-Latn-BA"/>
        </w:rPr>
        <w:drawing>
          <wp:inline distT="0" distB="0" distL="0" distR="0" wp14:anchorId="3BE01CC2" wp14:editId="46336135">
            <wp:extent cx="5924550" cy="19431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7572FFA" w14:textId="7589A2A4" w:rsidR="008A4E51" w:rsidRPr="000C5CA4" w:rsidRDefault="008A4E51" w:rsidP="008A4E51">
      <w:pPr>
        <w:spacing w:line="276" w:lineRule="auto"/>
        <w:jc w:val="center"/>
        <w:rPr>
          <w:sz w:val="22"/>
          <w:szCs w:val="20"/>
        </w:rPr>
      </w:pPr>
      <w:r w:rsidRPr="000C5CA4">
        <w:rPr>
          <w:sz w:val="22"/>
          <w:szCs w:val="20"/>
        </w:rPr>
        <w:t>Izvor: Federalni zavod za statistiku, Osnovno obrazovanje 2024/2025</w:t>
      </w:r>
    </w:p>
    <w:p w14:paraId="7D1B992C" w14:textId="77777777" w:rsidR="00F340C1" w:rsidRPr="000C5CA4" w:rsidRDefault="00F340C1" w:rsidP="00672AC4">
      <w:pPr>
        <w:spacing w:line="276" w:lineRule="auto"/>
        <w:rPr>
          <w:sz w:val="22"/>
          <w:szCs w:val="20"/>
        </w:rPr>
        <w:sectPr w:rsidR="00F340C1" w:rsidRPr="000C5CA4" w:rsidSect="003D6580">
          <w:type w:val="continuous"/>
          <w:pgSz w:w="11910" w:h="16840"/>
          <w:pgMar w:top="1440" w:right="1440" w:bottom="1247" w:left="1440" w:header="680" w:footer="510" w:gutter="0"/>
          <w:cols w:space="210"/>
          <w:titlePg/>
          <w:docGrid w:linePitch="299"/>
        </w:sectPr>
      </w:pPr>
    </w:p>
    <w:p w14:paraId="03AFF4AF" w14:textId="77777777" w:rsidR="003D6580" w:rsidRPr="000C5CA4" w:rsidRDefault="003D6580" w:rsidP="00672AC4">
      <w:pPr>
        <w:spacing w:line="276" w:lineRule="auto"/>
        <w:rPr>
          <w:sz w:val="22"/>
          <w:szCs w:val="20"/>
        </w:rPr>
        <w:sectPr w:rsidR="003D6580" w:rsidRPr="000C5CA4" w:rsidSect="00F340C1">
          <w:type w:val="continuous"/>
          <w:pgSz w:w="11910" w:h="16840"/>
          <w:pgMar w:top="1440" w:right="1440" w:bottom="1247" w:left="1440" w:header="680" w:footer="510" w:gutter="0"/>
          <w:cols w:space="210"/>
          <w:titlePg/>
          <w:docGrid w:linePitch="299"/>
        </w:sectPr>
      </w:pPr>
    </w:p>
    <w:p w14:paraId="57734268" w14:textId="5D0E2BB7" w:rsidR="0002393F" w:rsidRPr="000C5CA4" w:rsidRDefault="008A4E51" w:rsidP="00672AC4">
      <w:pPr>
        <w:spacing w:line="276" w:lineRule="auto"/>
        <w:rPr>
          <w:sz w:val="22"/>
          <w:szCs w:val="20"/>
        </w:rPr>
      </w:pPr>
      <w:r w:rsidRPr="000C5CA4">
        <w:rPr>
          <w:sz w:val="22"/>
          <w:szCs w:val="20"/>
        </w:rPr>
        <w:t>U odnosu na 2020/2021. školsku godinu, odnos učenika i učenica upisanih u osnovne škole se nije u mnogome promijenio. I dalje je u osnovnom obrazovanju upisano nešto više dječaka u odnosu na djevojćice (2,31% u korist dječaka u školskoj 2024/2025. godini)</w:t>
      </w:r>
      <w:r w:rsidR="00ED28FE" w:rsidRPr="000C5CA4">
        <w:rPr>
          <w:sz w:val="22"/>
          <w:szCs w:val="20"/>
        </w:rPr>
        <w:t xml:space="preserve">. Ova spolna distribucija odgovara učešću dječaka i djevojčica u ukupnoj strukturi stanovništva </w:t>
      </w:r>
      <w:r w:rsidR="00D421FF" w:rsidRPr="000C5CA4">
        <w:rPr>
          <w:sz w:val="22"/>
          <w:szCs w:val="20"/>
        </w:rPr>
        <w:t>TK</w:t>
      </w:r>
      <w:r w:rsidR="00ED28FE" w:rsidRPr="000C5CA4">
        <w:rPr>
          <w:sz w:val="22"/>
          <w:szCs w:val="20"/>
        </w:rPr>
        <w:t>.</w:t>
      </w:r>
      <w:r w:rsidR="00842284" w:rsidRPr="000C5CA4">
        <w:rPr>
          <w:sz w:val="22"/>
          <w:szCs w:val="20"/>
        </w:rPr>
        <w:t xml:space="preserve"> </w:t>
      </w:r>
      <w:r w:rsidR="00575FE6" w:rsidRPr="000C5CA4">
        <w:rPr>
          <w:sz w:val="22"/>
          <w:szCs w:val="20"/>
        </w:rPr>
        <w:t xml:space="preserve">Općenito gledano u BiH postoji rodni paritet u osnovnom obrazovanju što potvrđuju i ovi podaci. </w:t>
      </w:r>
    </w:p>
    <w:p w14:paraId="1EDD6B83" w14:textId="3EB95523" w:rsidR="00842284" w:rsidRPr="000C5CA4" w:rsidRDefault="008A4E51" w:rsidP="00672AC4">
      <w:pPr>
        <w:spacing w:line="276" w:lineRule="auto"/>
        <w:rPr>
          <w:sz w:val="22"/>
          <w:szCs w:val="20"/>
        </w:rPr>
      </w:pPr>
      <w:r w:rsidRPr="000C5CA4">
        <w:rPr>
          <w:noProof/>
          <w:sz w:val="22"/>
          <w:szCs w:val="20"/>
          <w:lang w:eastAsia="bs-Latn-BA"/>
        </w:rPr>
        <w:drawing>
          <wp:inline distT="0" distB="0" distL="0" distR="0" wp14:anchorId="6703E2C6" wp14:editId="4E217E13">
            <wp:extent cx="5397500" cy="1765300"/>
            <wp:effectExtent l="0" t="0" r="0" b="63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220AF14" w14:textId="43335F13" w:rsidR="00ED28FE" w:rsidRPr="000C5CA4" w:rsidRDefault="00ED28FE" w:rsidP="008B1C56">
      <w:pPr>
        <w:spacing w:line="276" w:lineRule="auto"/>
        <w:jc w:val="center"/>
        <w:rPr>
          <w:sz w:val="22"/>
          <w:szCs w:val="20"/>
        </w:rPr>
      </w:pPr>
      <w:r w:rsidRPr="000C5CA4">
        <w:rPr>
          <w:sz w:val="22"/>
          <w:szCs w:val="20"/>
        </w:rPr>
        <w:t xml:space="preserve">Izvor: Federalni zavod za statistiku, Osnovno obrazovanje </w:t>
      </w:r>
      <w:r w:rsidR="008A4E51" w:rsidRPr="000C5CA4">
        <w:rPr>
          <w:sz w:val="22"/>
          <w:szCs w:val="20"/>
        </w:rPr>
        <w:t>2024/2025</w:t>
      </w:r>
    </w:p>
    <w:p w14:paraId="3799F501" w14:textId="77777777" w:rsidR="00FE2E66" w:rsidRPr="000C5CA4" w:rsidRDefault="00FE2E66" w:rsidP="00672AC4">
      <w:pPr>
        <w:pStyle w:val="BodyText"/>
        <w:rPr>
          <w:sz w:val="22"/>
          <w:szCs w:val="20"/>
        </w:rPr>
        <w:sectPr w:rsidR="00FE2E66" w:rsidRPr="000C5CA4" w:rsidSect="00F340C1">
          <w:type w:val="continuous"/>
          <w:pgSz w:w="11910" w:h="16840"/>
          <w:pgMar w:top="1440" w:right="1440" w:bottom="1247" w:left="1440" w:header="680" w:footer="510" w:gutter="0"/>
          <w:cols w:space="210"/>
          <w:titlePg/>
          <w:docGrid w:linePitch="299"/>
        </w:sectPr>
      </w:pPr>
    </w:p>
    <w:p w14:paraId="187F9D80" w14:textId="77777777" w:rsidR="00F340C1" w:rsidRPr="000C5CA4" w:rsidRDefault="00F340C1" w:rsidP="00672AC4">
      <w:pPr>
        <w:pStyle w:val="BodyText"/>
        <w:rPr>
          <w:sz w:val="22"/>
          <w:szCs w:val="20"/>
        </w:rPr>
        <w:sectPr w:rsidR="00F340C1" w:rsidRPr="000C5CA4" w:rsidSect="006567BE">
          <w:type w:val="continuous"/>
          <w:pgSz w:w="11910" w:h="16840"/>
          <w:pgMar w:top="1440" w:right="1440" w:bottom="1247" w:left="1440" w:header="680" w:footer="510" w:gutter="0"/>
          <w:cols w:space="720"/>
          <w:titlePg/>
          <w:docGrid w:linePitch="299"/>
        </w:sectPr>
      </w:pPr>
    </w:p>
    <w:p w14:paraId="6E51BB97" w14:textId="3FC527C4" w:rsidR="00575FE6" w:rsidRPr="000C5CA4" w:rsidRDefault="00D25842" w:rsidP="00672AC4">
      <w:pPr>
        <w:pStyle w:val="BodyText"/>
        <w:rPr>
          <w:sz w:val="22"/>
          <w:szCs w:val="20"/>
        </w:rPr>
      </w:pPr>
      <w:r w:rsidRPr="000C5CA4">
        <w:rPr>
          <w:sz w:val="22"/>
          <w:szCs w:val="20"/>
        </w:rPr>
        <w:t xml:space="preserve">Podaci Federalnog zavoda za statistiku pokazuju da se i dalje među nastavnicima u osnovnom obrazovanju nalazi </w:t>
      </w:r>
      <w:r w:rsidR="003D6580" w:rsidRPr="000C5CA4">
        <w:rPr>
          <w:sz w:val="22"/>
          <w:szCs w:val="20"/>
        </w:rPr>
        <w:t>2/3 osoba ženskog spola ili 69,185 u 2024/2025. godini.</w:t>
      </w:r>
    </w:p>
    <w:p w14:paraId="364274D6" w14:textId="64CCBBF3" w:rsidR="00512108" w:rsidRPr="000C5CA4" w:rsidRDefault="00D25842" w:rsidP="00672AC4">
      <w:pPr>
        <w:spacing w:line="276" w:lineRule="auto"/>
        <w:rPr>
          <w:sz w:val="22"/>
          <w:szCs w:val="20"/>
        </w:rPr>
      </w:pPr>
      <w:r w:rsidRPr="000C5CA4">
        <w:rPr>
          <w:noProof/>
          <w:sz w:val="22"/>
          <w:szCs w:val="20"/>
          <w:lang w:eastAsia="bs-Latn-BA"/>
        </w:rPr>
        <w:lastRenderedPageBreak/>
        <w:drawing>
          <wp:inline distT="0" distB="0" distL="0" distR="0" wp14:anchorId="0144EDBE" wp14:editId="71797988">
            <wp:extent cx="5676900" cy="230505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F916CE5" w14:textId="77777777" w:rsidR="00D25842" w:rsidRPr="000C5CA4" w:rsidRDefault="00D25842" w:rsidP="00D25842">
      <w:pPr>
        <w:spacing w:line="276" w:lineRule="auto"/>
        <w:jc w:val="center"/>
        <w:rPr>
          <w:sz w:val="22"/>
          <w:szCs w:val="20"/>
        </w:rPr>
      </w:pPr>
      <w:r w:rsidRPr="000C5CA4">
        <w:rPr>
          <w:sz w:val="22"/>
          <w:szCs w:val="20"/>
        </w:rPr>
        <w:t>Izvor: Federalni zavod za statistiku, Osnovno obrazovanje 2024/2025</w:t>
      </w:r>
    </w:p>
    <w:p w14:paraId="1D534BD8" w14:textId="77777777" w:rsidR="00D25842" w:rsidRPr="000C5CA4" w:rsidRDefault="00D25842" w:rsidP="00672AC4">
      <w:pPr>
        <w:spacing w:line="276" w:lineRule="auto"/>
        <w:rPr>
          <w:sz w:val="22"/>
          <w:szCs w:val="20"/>
        </w:rPr>
      </w:pPr>
    </w:p>
    <w:p w14:paraId="78E82689" w14:textId="77777777" w:rsidR="00B70821" w:rsidRPr="000C5CA4" w:rsidRDefault="00B70821" w:rsidP="00672AC4">
      <w:pPr>
        <w:spacing w:line="276" w:lineRule="auto"/>
        <w:rPr>
          <w:sz w:val="22"/>
          <w:szCs w:val="20"/>
        </w:rPr>
        <w:sectPr w:rsidR="00B70821" w:rsidRPr="000C5CA4" w:rsidSect="006567BE">
          <w:type w:val="continuous"/>
          <w:pgSz w:w="11910" w:h="16840"/>
          <w:pgMar w:top="1440" w:right="1440" w:bottom="1247" w:left="1440" w:header="680" w:footer="510" w:gutter="0"/>
          <w:cols w:space="720"/>
          <w:titlePg/>
          <w:docGrid w:linePitch="299"/>
        </w:sectPr>
      </w:pPr>
    </w:p>
    <w:p w14:paraId="6A060E3C" w14:textId="6C32EE2D" w:rsidR="00512108" w:rsidRPr="000C5CA4" w:rsidRDefault="00512108" w:rsidP="00672AC4">
      <w:pPr>
        <w:spacing w:line="276" w:lineRule="auto"/>
        <w:rPr>
          <w:sz w:val="22"/>
          <w:szCs w:val="20"/>
        </w:rPr>
      </w:pPr>
    </w:p>
    <w:p w14:paraId="20DE61FD" w14:textId="77777777" w:rsidR="00512108" w:rsidRPr="000C5CA4" w:rsidRDefault="00512108" w:rsidP="00672AC4">
      <w:pPr>
        <w:spacing w:line="276" w:lineRule="auto"/>
        <w:rPr>
          <w:sz w:val="22"/>
          <w:szCs w:val="20"/>
        </w:rPr>
        <w:sectPr w:rsidR="00512108" w:rsidRPr="000C5CA4" w:rsidSect="00B70821">
          <w:type w:val="continuous"/>
          <w:pgSz w:w="11910" w:h="16840"/>
          <w:pgMar w:top="1440" w:right="1440" w:bottom="1247" w:left="1440" w:header="680" w:footer="510" w:gutter="0"/>
          <w:cols w:space="720"/>
          <w:titlePg/>
          <w:docGrid w:linePitch="299"/>
        </w:sectPr>
      </w:pPr>
    </w:p>
    <w:p w14:paraId="12EE07FB" w14:textId="77777777" w:rsidR="00B70821" w:rsidRPr="000C5CA4" w:rsidRDefault="00ED28FE" w:rsidP="00B70821">
      <w:pPr>
        <w:pBdr>
          <w:top w:val="nil"/>
          <w:left w:val="nil"/>
          <w:bottom w:val="nil"/>
          <w:right w:val="nil"/>
          <w:between w:val="nil"/>
        </w:pBdr>
        <w:spacing w:line="276" w:lineRule="auto"/>
        <w:ind w:left="100"/>
        <w:rPr>
          <w:sz w:val="22"/>
          <w:szCs w:val="20"/>
          <w:highlight w:val="white"/>
        </w:rPr>
      </w:pPr>
      <w:r w:rsidRPr="000C5CA4">
        <w:rPr>
          <w:sz w:val="22"/>
          <w:szCs w:val="20"/>
        </w:rPr>
        <w:t xml:space="preserve">Podaci pokazuju da jednak broj dječaka i djevojčica upisuje srednje obrazovanje. </w:t>
      </w:r>
      <w:r w:rsidR="00FE2E66" w:rsidRPr="000C5CA4">
        <w:rPr>
          <w:sz w:val="22"/>
          <w:szCs w:val="20"/>
        </w:rPr>
        <w:t>Izraženije su razlike zastupljenosti djevojčica i dječaka postoje unutar određenih kategorija srednjeg obrazovanja. Djevojčice dominiraju u strukturi učenika u gimnazijama dok dječaci dominiraju u strukturi učenika u usmjerenim zanimanjima, a posebno u strukovnim školama. Ovakve razlike u profiliranju zanimanja između žena i muškaraca direktno utiču i na stanje na tržištu rada i daljem školovanju.</w:t>
      </w:r>
      <w:r w:rsidR="00B70821" w:rsidRPr="000C5CA4">
        <w:rPr>
          <w:sz w:val="22"/>
          <w:szCs w:val="20"/>
          <w:highlight w:val="white"/>
        </w:rPr>
        <w:t xml:space="preserve"> </w:t>
      </w:r>
    </w:p>
    <w:p w14:paraId="480D9507" w14:textId="77777777" w:rsidR="00B70821" w:rsidRPr="000C5CA4" w:rsidRDefault="00B70821" w:rsidP="00B70821">
      <w:pPr>
        <w:pBdr>
          <w:top w:val="nil"/>
          <w:left w:val="nil"/>
          <w:bottom w:val="nil"/>
          <w:right w:val="nil"/>
          <w:between w:val="nil"/>
        </w:pBdr>
        <w:spacing w:line="276" w:lineRule="auto"/>
        <w:ind w:left="100"/>
        <w:rPr>
          <w:sz w:val="22"/>
          <w:szCs w:val="20"/>
          <w:highlight w:val="white"/>
        </w:rPr>
      </w:pPr>
    </w:p>
    <w:p w14:paraId="74DE93AC" w14:textId="156D55B1" w:rsidR="00B70821" w:rsidRPr="000C5CA4" w:rsidRDefault="00B70821" w:rsidP="00B70821">
      <w:pPr>
        <w:pBdr>
          <w:top w:val="nil"/>
          <w:left w:val="nil"/>
          <w:bottom w:val="nil"/>
          <w:right w:val="nil"/>
          <w:between w:val="nil"/>
        </w:pBdr>
        <w:spacing w:line="276" w:lineRule="auto"/>
        <w:ind w:left="100"/>
        <w:rPr>
          <w:sz w:val="22"/>
          <w:szCs w:val="20"/>
        </w:rPr>
      </w:pPr>
      <w:r w:rsidRPr="000C5CA4">
        <w:rPr>
          <w:sz w:val="22"/>
          <w:szCs w:val="20"/>
          <w:highlight w:val="white"/>
        </w:rPr>
        <w:t>U srednjim školama u školskoj 2024/2025 .godini upisano je 14091 učenika/učenica, od čega je 7083 ili 50,27% djevojčica. Bilježimo podatak da je značajno više djevojčica upisano u opću gimnaziju 71,73% ili za zanimanja medicinska-sestra tehničar (76,31%) i frizer (84,84%), a da npr. niti jedna djevojčica nije upisana za zanimanja automehaničar, autoelektričar, bravar, električar. S tim u vezi, može konstatovati da je pri upisu učenika u pojedina zanimanja evidentna spolna disproporcija</w:t>
      </w:r>
      <w:r w:rsidRPr="000C5CA4">
        <w:rPr>
          <w:sz w:val="22"/>
          <w:szCs w:val="20"/>
        </w:rPr>
        <w:t>.</w:t>
      </w:r>
    </w:p>
    <w:p w14:paraId="700F8128" w14:textId="5EB852EE" w:rsidR="00B70821" w:rsidRPr="000C5CA4" w:rsidRDefault="00B70821" w:rsidP="00B70821">
      <w:pPr>
        <w:pBdr>
          <w:top w:val="nil"/>
          <w:left w:val="nil"/>
          <w:bottom w:val="nil"/>
          <w:right w:val="nil"/>
          <w:between w:val="nil"/>
        </w:pBdr>
        <w:spacing w:line="276" w:lineRule="auto"/>
        <w:ind w:left="100"/>
        <w:jc w:val="center"/>
        <w:rPr>
          <w:sz w:val="22"/>
          <w:szCs w:val="20"/>
        </w:rPr>
      </w:pPr>
      <w:r w:rsidRPr="000C5CA4">
        <w:rPr>
          <w:noProof/>
          <w:sz w:val="22"/>
          <w:szCs w:val="20"/>
          <w:lang w:eastAsia="bs-Latn-BA"/>
        </w:rPr>
        <w:drawing>
          <wp:inline distT="0" distB="0" distL="0" distR="0" wp14:anchorId="48FAC537" wp14:editId="3130EA88">
            <wp:extent cx="5797550" cy="230505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22955AF" w14:textId="4E04C027" w:rsidR="00B70821" w:rsidRPr="000C5CA4" w:rsidRDefault="00B70821" w:rsidP="00B70821">
      <w:pPr>
        <w:spacing w:line="276" w:lineRule="auto"/>
        <w:jc w:val="center"/>
        <w:rPr>
          <w:sz w:val="22"/>
          <w:szCs w:val="20"/>
        </w:rPr>
      </w:pPr>
      <w:r w:rsidRPr="000C5CA4">
        <w:rPr>
          <w:sz w:val="22"/>
          <w:szCs w:val="20"/>
        </w:rPr>
        <w:t>Izvor: Federalni zavod za statistiku, Srednje obrazovanje u Federaciji Bosne i Hercegovine, 2024/2025</w:t>
      </w:r>
    </w:p>
    <w:p w14:paraId="7184463F" w14:textId="77777777" w:rsidR="00B70821" w:rsidRPr="000C5CA4" w:rsidRDefault="00B70821" w:rsidP="00B70821">
      <w:pPr>
        <w:pBdr>
          <w:top w:val="nil"/>
          <w:left w:val="nil"/>
          <w:bottom w:val="nil"/>
          <w:right w:val="nil"/>
          <w:between w:val="nil"/>
        </w:pBdr>
        <w:spacing w:line="276" w:lineRule="auto"/>
        <w:ind w:left="100"/>
        <w:rPr>
          <w:sz w:val="22"/>
          <w:szCs w:val="20"/>
        </w:rPr>
        <w:sectPr w:rsidR="00B70821" w:rsidRPr="000C5CA4" w:rsidSect="00B70821">
          <w:type w:val="continuous"/>
          <w:pgSz w:w="11910" w:h="16840"/>
          <w:pgMar w:top="1440" w:right="1440" w:bottom="1247" w:left="1440" w:header="680" w:footer="510" w:gutter="0"/>
          <w:cols w:space="330"/>
          <w:titlePg/>
          <w:docGrid w:linePitch="299"/>
        </w:sectPr>
      </w:pPr>
    </w:p>
    <w:p w14:paraId="36C66CB9" w14:textId="473258C5" w:rsidR="00B70821" w:rsidRPr="000C5CA4" w:rsidRDefault="00B70821" w:rsidP="00B70821">
      <w:pPr>
        <w:pBdr>
          <w:top w:val="nil"/>
          <w:left w:val="nil"/>
          <w:bottom w:val="nil"/>
          <w:right w:val="nil"/>
          <w:between w:val="nil"/>
        </w:pBdr>
        <w:spacing w:line="276" w:lineRule="auto"/>
        <w:ind w:left="100"/>
        <w:rPr>
          <w:sz w:val="22"/>
          <w:szCs w:val="20"/>
        </w:rPr>
      </w:pPr>
    </w:p>
    <w:p w14:paraId="5C43BACD" w14:textId="073EA0DA" w:rsidR="00864571" w:rsidRPr="000C5CA4" w:rsidRDefault="00231B01" w:rsidP="00672AC4">
      <w:pPr>
        <w:pStyle w:val="BodyText"/>
        <w:jc w:val="center"/>
        <w:rPr>
          <w:rFonts w:cs="Arial"/>
          <w:sz w:val="22"/>
        </w:rPr>
        <w:sectPr w:rsidR="00864571" w:rsidRPr="000C5CA4" w:rsidSect="00864571">
          <w:type w:val="continuous"/>
          <w:pgSz w:w="11910" w:h="16840"/>
          <w:pgMar w:top="1440" w:right="1440" w:bottom="1247" w:left="1440" w:header="680" w:footer="510" w:gutter="0"/>
          <w:cols w:space="720"/>
          <w:titlePg/>
          <w:docGrid w:linePitch="299"/>
        </w:sectPr>
      </w:pPr>
      <w:r w:rsidRPr="000C5CA4">
        <w:rPr>
          <w:noProof/>
          <w:sz w:val="22"/>
          <w:szCs w:val="20"/>
          <w:lang w:eastAsia="bs-Latn-BA"/>
        </w:rPr>
        <w:lastRenderedPageBreak/>
        <w:drawing>
          <wp:inline distT="0" distB="0" distL="0" distR="0" wp14:anchorId="08AD9262" wp14:editId="10D72892">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0342334" w14:textId="77777777" w:rsidR="005D4971" w:rsidRPr="000C5CA4" w:rsidRDefault="00FE39C0" w:rsidP="005D4971">
      <w:pPr>
        <w:spacing w:line="276" w:lineRule="auto"/>
        <w:jc w:val="center"/>
        <w:rPr>
          <w:sz w:val="22"/>
          <w:szCs w:val="20"/>
        </w:rPr>
      </w:pPr>
      <w:r w:rsidRPr="000C5CA4">
        <w:rPr>
          <w:sz w:val="22"/>
          <w:szCs w:val="20"/>
        </w:rPr>
        <w:t xml:space="preserve">Izvor: Federalni zavod za statistiku, Srednje obrazovanje u Federaciji Bosne i Hercegovine, </w:t>
      </w:r>
      <w:r w:rsidR="005D4971" w:rsidRPr="000C5CA4">
        <w:rPr>
          <w:sz w:val="22"/>
          <w:szCs w:val="20"/>
        </w:rPr>
        <w:t>2024/2025</w:t>
      </w:r>
    </w:p>
    <w:p w14:paraId="43FAA8A9" w14:textId="1725622D" w:rsidR="00FE39C0" w:rsidRPr="000C5CA4" w:rsidRDefault="00FE39C0" w:rsidP="00672AC4">
      <w:pPr>
        <w:spacing w:line="276" w:lineRule="auto"/>
        <w:rPr>
          <w:sz w:val="22"/>
          <w:szCs w:val="20"/>
        </w:rPr>
      </w:pPr>
    </w:p>
    <w:p w14:paraId="345A7872" w14:textId="5C967AD0" w:rsidR="00F150DC" w:rsidRPr="000C5CA4" w:rsidRDefault="00F150DC" w:rsidP="00672AC4">
      <w:pPr>
        <w:spacing w:line="276" w:lineRule="auto"/>
        <w:rPr>
          <w:sz w:val="22"/>
          <w:szCs w:val="20"/>
        </w:rPr>
      </w:pPr>
      <w:r w:rsidRPr="000C5CA4">
        <w:rPr>
          <w:sz w:val="22"/>
          <w:szCs w:val="20"/>
        </w:rPr>
        <w:t>U srednjim školama u Tuzlanskom kantonu, u školskoj 202</w:t>
      </w:r>
      <w:r w:rsidR="00231B01" w:rsidRPr="000C5CA4">
        <w:rPr>
          <w:sz w:val="22"/>
          <w:szCs w:val="20"/>
        </w:rPr>
        <w:t>4</w:t>
      </w:r>
      <w:r w:rsidRPr="000C5CA4">
        <w:rPr>
          <w:sz w:val="22"/>
          <w:szCs w:val="20"/>
        </w:rPr>
        <w:t>/202</w:t>
      </w:r>
      <w:r w:rsidR="00231B01" w:rsidRPr="000C5CA4">
        <w:rPr>
          <w:sz w:val="22"/>
          <w:szCs w:val="20"/>
        </w:rPr>
        <w:t>5</w:t>
      </w:r>
      <w:r w:rsidRPr="000C5CA4">
        <w:rPr>
          <w:sz w:val="22"/>
          <w:szCs w:val="20"/>
        </w:rPr>
        <w:t xml:space="preserve">. godini je zaposleno </w:t>
      </w:r>
      <w:r w:rsidR="00231B01" w:rsidRPr="000C5CA4">
        <w:rPr>
          <w:sz w:val="22"/>
          <w:szCs w:val="20"/>
        </w:rPr>
        <w:t>1715</w:t>
      </w:r>
      <w:r w:rsidRPr="000C5CA4">
        <w:rPr>
          <w:sz w:val="22"/>
          <w:szCs w:val="20"/>
        </w:rPr>
        <w:t xml:space="preserve"> nastavnika, od čega je </w:t>
      </w:r>
      <w:r w:rsidR="00231B01" w:rsidRPr="000C5CA4">
        <w:rPr>
          <w:sz w:val="22"/>
          <w:szCs w:val="20"/>
        </w:rPr>
        <w:t>61</w:t>
      </w:r>
      <w:r w:rsidRPr="000C5CA4">
        <w:rPr>
          <w:sz w:val="22"/>
          <w:szCs w:val="20"/>
        </w:rPr>
        <w:t>% osoba ženskog spola.</w:t>
      </w:r>
    </w:p>
    <w:p w14:paraId="7128668A" w14:textId="77777777" w:rsidR="00FE2E66" w:rsidRPr="000C5CA4" w:rsidRDefault="00FE2E66" w:rsidP="00672AC4">
      <w:pPr>
        <w:spacing w:line="276" w:lineRule="auto"/>
        <w:rPr>
          <w:sz w:val="22"/>
          <w:szCs w:val="20"/>
        </w:rPr>
      </w:pPr>
    </w:p>
    <w:p w14:paraId="404D91C2" w14:textId="2D1EEBA9" w:rsidR="00FE2E66" w:rsidRPr="000C5CA4" w:rsidRDefault="00FE2E66" w:rsidP="00672AC4">
      <w:pPr>
        <w:pStyle w:val="BodyText"/>
        <w:rPr>
          <w:sz w:val="22"/>
          <w:szCs w:val="20"/>
        </w:rPr>
        <w:sectPr w:rsidR="00FE2E66" w:rsidRPr="000C5CA4" w:rsidSect="006567BE">
          <w:type w:val="continuous"/>
          <w:pgSz w:w="11910" w:h="16840"/>
          <w:pgMar w:top="1440" w:right="1440" w:bottom="1247" w:left="1440" w:header="680" w:footer="510" w:gutter="0"/>
          <w:cols w:space="720"/>
          <w:titlePg/>
          <w:docGrid w:linePitch="299"/>
        </w:sectPr>
      </w:pPr>
    </w:p>
    <w:p w14:paraId="0D088B60" w14:textId="77777777" w:rsidR="00D25842" w:rsidRDefault="00D25842" w:rsidP="00D25842">
      <w:pPr>
        <w:spacing w:line="276" w:lineRule="auto"/>
        <w:rPr>
          <w:sz w:val="22"/>
          <w:szCs w:val="20"/>
        </w:rPr>
      </w:pPr>
      <w:r w:rsidRPr="000C5CA4">
        <w:rPr>
          <w:sz w:val="22"/>
          <w:szCs w:val="20"/>
        </w:rPr>
        <w:t xml:space="preserve">U BiH Romkinje imaju značajno lošije obrazovne rezultate u odnosu na dječake romske nacionalnosti jer skoro 80% Romkinja ne završi čak ni osnovnu školu dok većina dječaka završi školu. </w:t>
      </w:r>
    </w:p>
    <w:p w14:paraId="26981D0D" w14:textId="77777777" w:rsidR="000C5CA4" w:rsidRPr="000C5CA4" w:rsidRDefault="000C5CA4" w:rsidP="00D25842">
      <w:pPr>
        <w:spacing w:line="276" w:lineRule="auto"/>
        <w:rPr>
          <w:sz w:val="22"/>
          <w:szCs w:val="20"/>
        </w:rPr>
      </w:pPr>
    </w:p>
    <w:p w14:paraId="1BD7A1DE" w14:textId="77777777" w:rsidR="00D25842" w:rsidRPr="000C5CA4" w:rsidRDefault="00D25842" w:rsidP="00D25842">
      <w:pPr>
        <w:spacing w:line="276" w:lineRule="auto"/>
        <w:rPr>
          <w:sz w:val="22"/>
          <w:szCs w:val="20"/>
        </w:rPr>
      </w:pPr>
      <w:r w:rsidRPr="000C5CA4">
        <w:rPr>
          <w:sz w:val="22"/>
          <w:szCs w:val="20"/>
        </w:rPr>
        <w:t>Kontinuirano se pokušava nači rješenje problema obrazovanja Roma i aktivnije uključenosti u društvo kako na državnom i federalnom, tako i na kantonalnom, ali i općinskim nivoima. Bosna i Hercegovina je prihvatila ciljeve utvrđene u okviru Deklaracije partnera Zapadnog Balkana o integraciji Roma u okviru procesa proširenja EU koju je podržalo Predsjedništvo BiH i prihvatile vlade entiteta i Brčko distrikta BiH. 20. aprila 2022. godine Vijeće ministara BiH usvojilo Akcioni plan za društvenu inkluziju Roma i Romkinja za period 2021.-2025. godine. Bosna i Hercegovina je preuzela obavezu osiguranja novčanih sredstava neophodnih za provođenje Akcionog plana u oblasti zapošljavanja, stambenog zbrinjavanja, obrazovanja i zdravstvene zaštite u saradnji sa predstavnicima jedinica lokalne samouprave, koje takođe izdvajaju u svojim budžetima prema mogućnostima sredstva za društvenu uključenost Roma.</w:t>
      </w:r>
      <w:r w:rsidRPr="000C5CA4">
        <w:rPr>
          <w:rStyle w:val="FootnoteReference"/>
          <w:sz w:val="22"/>
          <w:szCs w:val="20"/>
        </w:rPr>
        <w:footnoteReference w:id="11"/>
      </w:r>
    </w:p>
    <w:p w14:paraId="3A6979C5" w14:textId="77777777" w:rsidR="00D25842" w:rsidRPr="000C5CA4" w:rsidRDefault="00D25842" w:rsidP="00D25842">
      <w:pPr>
        <w:spacing w:line="276" w:lineRule="auto"/>
        <w:rPr>
          <w:sz w:val="22"/>
          <w:szCs w:val="20"/>
        </w:rPr>
      </w:pPr>
    </w:p>
    <w:p w14:paraId="7B715646" w14:textId="77777777" w:rsidR="00D25842" w:rsidRPr="000C5CA4" w:rsidRDefault="00D25842" w:rsidP="00D25842">
      <w:pPr>
        <w:spacing w:line="276" w:lineRule="auto"/>
        <w:rPr>
          <w:sz w:val="22"/>
          <w:szCs w:val="20"/>
          <w:lang w:val="hr-BA"/>
        </w:rPr>
      </w:pPr>
      <w:r w:rsidRPr="000C5CA4">
        <w:rPr>
          <w:sz w:val="22"/>
          <w:szCs w:val="20"/>
        </w:rPr>
        <w:t xml:space="preserve">U Budžetu (uključujući Izmjene i dopune Budžeta 2024. godine) Tuzlanskog kantona za 2024. godinu na poziciji Implementacija akcionog plana o obrazovnim potrebama Roma i ostalih nacionalnih manjina planiran je iznos od 134.700KM dok je u Budžetu za 2025. godinu na istoj poziciji planirano 132.700KM, međutim Izmjenama i dopunama proračuna TK za 2025. godinu iznos na navedenoj poziciji je zvećan i iznosi 152.700KM. Ovom izmjenom su povećani Tekući transferi pojedincima za 20.00KM, dok je iznos predviđen za stipendiranje učenika Roma i ostalih </w:t>
      </w:r>
      <w:r w:rsidRPr="000C5CA4">
        <w:rPr>
          <w:sz w:val="22"/>
          <w:szCs w:val="20"/>
        </w:rPr>
        <w:lastRenderedPageBreak/>
        <w:t>nacionalnih manjina ostao isti (64.700KM).</w:t>
      </w:r>
    </w:p>
    <w:p w14:paraId="4607C838" w14:textId="77777777" w:rsidR="00D25842" w:rsidRPr="000C5CA4" w:rsidRDefault="00D25842" w:rsidP="00D25842">
      <w:pPr>
        <w:pStyle w:val="BodyText"/>
        <w:rPr>
          <w:sz w:val="22"/>
          <w:szCs w:val="20"/>
        </w:rPr>
      </w:pPr>
    </w:p>
    <w:p w14:paraId="3398F1DF" w14:textId="77777777" w:rsidR="00D25842" w:rsidRPr="000C5CA4" w:rsidRDefault="00D25842" w:rsidP="00D25842">
      <w:pPr>
        <w:pStyle w:val="BodyText"/>
        <w:rPr>
          <w:sz w:val="22"/>
          <w:szCs w:val="20"/>
        </w:rPr>
        <w:sectPr w:rsidR="00D25842" w:rsidRPr="000C5CA4" w:rsidSect="006567BE">
          <w:type w:val="continuous"/>
          <w:pgSz w:w="11910" w:h="16840"/>
          <w:pgMar w:top="1440" w:right="1440" w:bottom="1247" w:left="1440" w:header="680" w:footer="510" w:gutter="0"/>
          <w:cols w:space="720"/>
          <w:titlePg/>
          <w:docGrid w:linePitch="299"/>
        </w:sectPr>
      </w:pPr>
    </w:p>
    <w:p w14:paraId="36BB3E73" w14:textId="77B4B8DD" w:rsidR="00DB542B" w:rsidRDefault="00DB542B" w:rsidP="00DB542B">
      <w:pPr>
        <w:rPr>
          <w:rFonts w:eastAsia="Times New Roman"/>
          <w:sz w:val="22"/>
          <w:szCs w:val="20"/>
        </w:rPr>
      </w:pPr>
      <w:r w:rsidRPr="000C5CA4">
        <w:rPr>
          <w:sz w:val="22"/>
          <w:szCs w:val="20"/>
        </w:rPr>
        <w:t xml:space="preserve">U cilju relaizacije strateških ciljeva GAP TK 2020-2024. godine, a </w:t>
      </w:r>
      <w:r w:rsidRPr="000C5CA4">
        <w:rPr>
          <w:rFonts w:eastAsia="Times New Roman"/>
          <w:sz w:val="22"/>
          <w:szCs w:val="20"/>
        </w:rPr>
        <w:t>uz saglasnost Ministarstva obrazovanja i nauke TK i Pedagoškog zavoda TK sprovedene su aktivnosti u svrhu prevencije rondo zasnovanog nasilja u jednoj osnovnoj i dvije srednje škole na TK, preko 650 školske djece i 50 članova nastavnog osobolja su bili uključeni u projektne aktivnosti.</w:t>
      </w:r>
    </w:p>
    <w:p w14:paraId="5C15EFDA" w14:textId="77777777" w:rsidR="000C5CA4" w:rsidRPr="000C5CA4" w:rsidRDefault="000C5CA4" w:rsidP="00DB542B">
      <w:pPr>
        <w:rPr>
          <w:rFonts w:eastAsia="Times New Roman"/>
          <w:sz w:val="22"/>
          <w:szCs w:val="20"/>
        </w:rPr>
      </w:pPr>
    </w:p>
    <w:p w14:paraId="019E475B" w14:textId="77777777" w:rsidR="00DB542B" w:rsidRPr="000C5CA4" w:rsidRDefault="00DB542B" w:rsidP="00DB542B">
      <w:pPr>
        <w:spacing w:line="240" w:lineRule="auto"/>
        <w:rPr>
          <w:rFonts w:eastAsia="Times New Roman"/>
          <w:sz w:val="22"/>
          <w:szCs w:val="20"/>
        </w:rPr>
      </w:pPr>
      <w:r w:rsidRPr="000C5CA4">
        <w:rPr>
          <w:rFonts w:eastAsia="Times New Roman"/>
          <w:sz w:val="22"/>
          <w:szCs w:val="20"/>
        </w:rPr>
        <w:t>U okviru Programa prevencije, intervencije i resocijalizacije u oblasti maloljetničkog prestupništva, organizovano je 20 edukativnih predavanja i 5 preventivnih radionica u ukupno 19 osnovnih i srednjih škola na području kantona. Aktivnostima je prisustvovalo 1760 učenika, uz učešće nastavnog osoblja. Cilj je bio jačanje svijesti o društveno neprihvatljivim oblicima ponašanja i pružanje informacija o posljedicama nasilja.</w:t>
      </w:r>
    </w:p>
    <w:p w14:paraId="6B24E627" w14:textId="77777777" w:rsidR="00DB542B" w:rsidRPr="000C5CA4" w:rsidRDefault="00DB542B" w:rsidP="00DB542B">
      <w:pPr>
        <w:rPr>
          <w:rFonts w:eastAsia="Times New Roman"/>
          <w:sz w:val="22"/>
          <w:szCs w:val="20"/>
        </w:rPr>
      </w:pPr>
    </w:p>
    <w:p w14:paraId="26BDA47A" w14:textId="709B32AE" w:rsidR="00ED28FE" w:rsidRPr="000C5CA4" w:rsidRDefault="00D64133" w:rsidP="00672AC4">
      <w:pPr>
        <w:pStyle w:val="Heading3"/>
        <w:rPr>
          <w:sz w:val="22"/>
          <w:szCs w:val="20"/>
        </w:rPr>
      </w:pPr>
      <w:bookmarkStart w:id="35" w:name="_Toc73392276"/>
      <w:bookmarkStart w:id="36" w:name="_Toc74118440"/>
      <w:bookmarkStart w:id="37" w:name="_Toc79420464"/>
      <w:bookmarkStart w:id="38" w:name="_Toc200303207"/>
      <w:r w:rsidRPr="000C5CA4">
        <w:rPr>
          <w:sz w:val="22"/>
          <w:szCs w:val="20"/>
        </w:rPr>
        <w:t>N</w:t>
      </w:r>
      <w:r w:rsidR="00ED28FE" w:rsidRPr="000C5CA4">
        <w:rPr>
          <w:sz w:val="22"/>
          <w:szCs w:val="20"/>
        </w:rPr>
        <w:t>asilje nad ženama i nasilje u porodici</w:t>
      </w:r>
      <w:bookmarkEnd w:id="35"/>
      <w:bookmarkEnd w:id="36"/>
      <w:bookmarkEnd w:id="37"/>
      <w:bookmarkEnd w:id="38"/>
      <w:r w:rsidR="000B31D6" w:rsidRPr="000C5CA4">
        <w:rPr>
          <w:sz w:val="22"/>
          <w:szCs w:val="20"/>
        </w:rPr>
        <w:t xml:space="preserve"> </w:t>
      </w:r>
    </w:p>
    <w:p w14:paraId="0CF42EBB" w14:textId="77777777" w:rsidR="00442B01" w:rsidRPr="000C5CA4" w:rsidRDefault="00442B01" w:rsidP="00140CE9">
      <w:pPr>
        <w:pStyle w:val="Heading3"/>
        <w:rPr>
          <w:sz w:val="22"/>
          <w:szCs w:val="20"/>
        </w:rPr>
      </w:pPr>
    </w:p>
    <w:p w14:paraId="387F308E" w14:textId="77777777" w:rsidR="000F23AE" w:rsidRPr="000C5CA4" w:rsidRDefault="000F23AE" w:rsidP="00140CE9">
      <w:pPr>
        <w:spacing w:after="160" w:line="276" w:lineRule="auto"/>
        <w:rPr>
          <w:rFonts w:eastAsia="Times New Roman"/>
          <w:sz w:val="22"/>
        </w:rPr>
      </w:pPr>
      <w:r w:rsidRPr="000C5CA4">
        <w:rPr>
          <w:rFonts w:eastAsia="Times New Roman"/>
          <w:sz w:val="22"/>
        </w:rPr>
        <w:t xml:space="preserve">Nasilje nad ženama i nasilje u porodici, kao jedan od najvećih izazova bosanskohercegovačkog društva, problem je koji je odnedavno izašao iz privatne u javnu sferu. Ipak nasilje nad ženama i nasilje u porodici je i dalje jedan od najtežih kršenja prava žena. Prema Istraživanje o dobrobiti i sigurnosti žena – rezultati za Bosnu i Hercegovinu pokazuje da je nasilje nad ženama rasprostranjeno u svim svojim oblicima, fizičko, psihičko, ekonomsko i socijalno. Tek malo manje od polovine žena u BiH (48%) iskusilo je neki oblik nasilja, uključujući i nasilje od strane intimnog partnera, nepartnera, uhođenje ili seksualno uznemiravanje, od svoje petnaeste godine. Preciznije rečeno, skoro četiri od deset žena (38%) izjavilo je da su iskusile psihičko, fizičko ili seksualno nasilje od petnaeste godine od strane partnera ili nepartnera. Jedna od sedam žena (14%) kaže da je iskusila psihičko ili seksualno nasilje od petnaeste godine od strane partnera ili nepartnera. </w:t>
      </w:r>
    </w:p>
    <w:p w14:paraId="02768F09" w14:textId="77777777" w:rsidR="000F23AE" w:rsidRPr="000C5CA4" w:rsidRDefault="000F23AE" w:rsidP="00140CE9">
      <w:pPr>
        <w:spacing w:after="160" w:line="276" w:lineRule="auto"/>
        <w:rPr>
          <w:rFonts w:eastAsia="Times New Roman"/>
          <w:sz w:val="22"/>
        </w:rPr>
      </w:pPr>
      <w:r w:rsidRPr="000C5CA4">
        <w:rPr>
          <w:rFonts w:eastAsia="Times New Roman"/>
          <w:sz w:val="22"/>
        </w:rPr>
        <w:t xml:space="preserve">U smislu počinilaca, broj prijavljenih slučajeva je najviši kada je u pitanju nasilje od strane bivšeg partnera, pri čemu 11% žena koje su imale bivšeg partnera kaže da je iskusilo jedan ili više oblika ovakvog nasilja, u poređenju sa 6% žena koje kažu da su iskusile fizičko ili seksualno nasilje od strane trenutnog partnera, i 8% svih žena koje kažu da su iskusile nasilje od strane nepartnera. </w:t>
      </w:r>
    </w:p>
    <w:p w14:paraId="1959EF6A" w14:textId="77777777" w:rsidR="000F23AE" w:rsidRPr="000C5CA4" w:rsidRDefault="000F23AE" w:rsidP="00140CE9">
      <w:pPr>
        <w:spacing w:after="160" w:line="276" w:lineRule="auto"/>
        <w:rPr>
          <w:rFonts w:eastAsia="Times New Roman"/>
          <w:sz w:val="22"/>
        </w:rPr>
      </w:pPr>
      <w:r w:rsidRPr="000C5CA4">
        <w:rPr>
          <w:rFonts w:eastAsia="Times New Roman"/>
          <w:sz w:val="22"/>
        </w:rPr>
        <w:t xml:space="preserve">Ove brojke su iste u oba entiteta. Od petnaeste godine života, 28% žena navodi da su iskusile seksualno uznemiravanje, dok je 10% žena doživjelo seksualno uznemiravanje u periodu od 12 mjeseci prije istraživanja. Uhođenje je iskusila jedna od dvadeset ispitanih žena (5% u oba entiteta). </w:t>
      </w:r>
    </w:p>
    <w:p w14:paraId="2A427041" w14:textId="77777777" w:rsidR="000F23AE" w:rsidRPr="000C5CA4" w:rsidRDefault="000F23AE" w:rsidP="00140CE9">
      <w:pPr>
        <w:spacing w:after="160" w:line="276" w:lineRule="auto"/>
        <w:rPr>
          <w:rFonts w:eastAsia="Times New Roman"/>
          <w:sz w:val="22"/>
        </w:rPr>
      </w:pPr>
      <w:r w:rsidRPr="000C5CA4">
        <w:rPr>
          <w:rFonts w:eastAsia="Times New Roman"/>
          <w:sz w:val="22"/>
        </w:rPr>
        <w:t xml:space="preserve">Kada su u pitanju aktivnosti nadležnih institucija Vlade Tuzlanskog kantona, one su bile usmjerena u četiri pravca: prevencija, zaštita žrtava, gonjenje počinilaca i donošenje sveobuhvatnih strateških dokumenata. </w:t>
      </w:r>
    </w:p>
    <w:p w14:paraId="22408B4B" w14:textId="77777777" w:rsidR="0096661F" w:rsidRDefault="0096661F" w:rsidP="00140CE9">
      <w:pPr>
        <w:spacing w:line="276" w:lineRule="auto"/>
        <w:rPr>
          <w:rFonts w:eastAsia="Times New Roman"/>
          <w:sz w:val="22"/>
          <w:szCs w:val="20"/>
        </w:rPr>
      </w:pPr>
      <w:r w:rsidRPr="000C5CA4">
        <w:rPr>
          <w:rFonts w:eastAsia="Times New Roman"/>
          <w:sz w:val="22"/>
          <w:szCs w:val="20"/>
        </w:rPr>
        <w:t xml:space="preserve">U suradnji sa nevladinim organizacijama sa TK (Udruženje građana Informativni centar zaosobe sa invaliditetom "LOTOS" Tuzla, </w:t>
      </w:r>
      <w:r w:rsidRPr="000C5CA4">
        <w:rPr>
          <w:rFonts w:eastAsia="Times New Roman"/>
          <w:sz w:val="22"/>
          <w:szCs w:val="20"/>
          <w:highlight w:val="white"/>
        </w:rPr>
        <w:t>Tuzlanski otvoreni centar, Revolt, Amica Educa, Fondacija tuzlanske zajednice, Nova ženska inicijativa, HO Horizonti, Vive Žene, Ženska vizija i Islamic relief, Vijeće za rodnu ravnopravnost Univerziteta u Tuzli</w:t>
      </w:r>
      <w:r w:rsidRPr="000C5CA4">
        <w:rPr>
          <w:rFonts w:eastAsia="Arial" w:cs="Arial"/>
          <w:sz w:val="22"/>
          <w:szCs w:val="20"/>
          <w:highlight w:val="white"/>
        </w:rPr>
        <w:t>)</w:t>
      </w:r>
      <w:r w:rsidRPr="000C5CA4">
        <w:rPr>
          <w:rFonts w:eastAsia="Times New Roman"/>
          <w:sz w:val="22"/>
          <w:szCs w:val="20"/>
        </w:rPr>
        <w:t>, organizovano je obilježavanje 8 marta sa performansom pod naslovom “Jesam li ja sljedeća?” u svrhu ukazivanja na problem femicida za oko 500 građana/ki.</w:t>
      </w:r>
    </w:p>
    <w:p w14:paraId="0513FE3A" w14:textId="77777777" w:rsidR="000C5CA4" w:rsidRPr="000C5CA4" w:rsidRDefault="000C5CA4" w:rsidP="00140CE9">
      <w:pPr>
        <w:spacing w:line="276" w:lineRule="auto"/>
        <w:rPr>
          <w:rFonts w:eastAsia="Times New Roman"/>
          <w:sz w:val="22"/>
          <w:szCs w:val="20"/>
        </w:rPr>
      </w:pPr>
    </w:p>
    <w:p w14:paraId="212C811B" w14:textId="77777777" w:rsidR="0096661F" w:rsidRPr="000C5CA4" w:rsidRDefault="0096661F" w:rsidP="00140CE9">
      <w:pPr>
        <w:spacing w:line="276" w:lineRule="auto"/>
        <w:rPr>
          <w:rFonts w:eastAsia="Times New Roman"/>
          <w:sz w:val="22"/>
          <w:szCs w:val="20"/>
        </w:rPr>
      </w:pPr>
      <w:r w:rsidRPr="000C5CA4">
        <w:rPr>
          <w:rFonts w:eastAsia="Times New Roman"/>
          <w:sz w:val="22"/>
          <w:szCs w:val="20"/>
        </w:rPr>
        <w:t xml:space="preserve">U suradnji sa gore navedenim nevladinim organizacijama sa TK, organizovano je obilježavanje 16 dana borbe protiv rondo-zasnovanog nasilja sa uličnom kampanjom “Ona nije kriva”, oko 250 </w:t>
      </w:r>
      <w:r w:rsidRPr="000C5CA4">
        <w:rPr>
          <w:rFonts w:eastAsia="Times New Roman"/>
          <w:sz w:val="22"/>
          <w:szCs w:val="20"/>
        </w:rPr>
        <w:lastRenderedPageBreak/>
        <w:t xml:space="preserve">građana/ki dobilo informacije o oblicima nasilja i dostupnim oblicima pomoći. </w:t>
      </w:r>
    </w:p>
    <w:p w14:paraId="1F0EB113" w14:textId="77777777" w:rsidR="0096661F" w:rsidRPr="000C5CA4" w:rsidRDefault="0096661F" w:rsidP="00140CE9">
      <w:pPr>
        <w:spacing w:after="160" w:line="276" w:lineRule="auto"/>
        <w:rPr>
          <w:rFonts w:eastAsia="Times New Roman"/>
          <w:sz w:val="22"/>
        </w:rPr>
      </w:pPr>
    </w:p>
    <w:p w14:paraId="51D947AD" w14:textId="3B0A8EA2" w:rsidR="000F23AE" w:rsidRPr="000C5CA4" w:rsidRDefault="000F23AE" w:rsidP="00140CE9">
      <w:pPr>
        <w:spacing w:after="160" w:line="276" w:lineRule="auto"/>
        <w:rPr>
          <w:rFonts w:eastAsia="Times New Roman"/>
          <w:sz w:val="22"/>
        </w:rPr>
      </w:pPr>
      <w:r w:rsidRPr="000C5CA4">
        <w:rPr>
          <w:rFonts w:eastAsia="Times New Roman"/>
          <w:sz w:val="22"/>
        </w:rPr>
        <w:t>Vlada Tuzlanskog kantona je odlukom broj: 02/1-31-13932/24 od 12.06.2024. usvojila Akcioni plan za prevenciju i borbu protiv nasilja u porodici u Tuzlanskom kantonu 2024-2025. godina. Akcioni plan je objavljen na web stranici Ministarstva za rad, socijalnu politiku i povratak Tuzlanskog kantona (</w:t>
      </w:r>
      <w:hyperlink r:id="rId40">
        <w:r w:rsidRPr="000C5CA4">
          <w:rPr>
            <w:rStyle w:val="Hyperlink"/>
            <w:rFonts w:eastAsia="Times New Roman"/>
            <w:sz w:val="22"/>
          </w:rPr>
          <w:t>www.mrspptk.gov.ba</w:t>
        </w:r>
      </w:hyperlink>
      <w:r w:rsidRPr="000C5CA4">
        <w:rPr>
          <w:rFonts w:eastAsia="Times New Roman"/>
          <w:sz w:val="22"/>
        </w:rPr>
        <w:t>). Od dokumenata koji su važni za rodnu ravnopravnost na području kantona, Vlada TK je na sjednici održanoj 30.12.2021. godine donijela Odluku o usvajanju Protokola o postupanju u slučaju uznemiravanja na temelju spola i seksualnog uznemiravanja u organima javnog sektora Tuzlanskog kantona ( „Službene novine Tuzlanskog kantona“ broj: 1/22).</w:t>
      </w:r>
    </w:p>
    <w:p w14:paraId="179F9E6D" w14:textId="77777777" w:rsidR="000F23AE" w:rsidRPr="000C5CA4" w:rsidRDefault="000F23AE" w:rsidP="000F23AE">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U okviru svojih aktivnosti, Koordinaciono tijelo za praćenje implementacije Gender akcionog plana Tuzlanskog kantona u saradnji sa Gender centrom Federacije BiH organizovalo je u septembru 2023. godine sastanak na kojem je razmatrana situacija u vezi s femicidima u Bosni i Hercegovini, s posebnim osvrtom na Tuzlanski kanton. U oktobru iste godine održan je i sastanak na temu implementacije kantonalnih Gender akcionih planova, na kojem su prisutni informisani o reviziji učinka u oblasti rodne ravnopravnosti i sprečavanja nasilja nad ženama, na osnovu izvještaja koji je dostavio Gender centar FBiH. U izvještajnom periodu predstavnici Koordinacionog tijela su također učestvovali na konferenciji „Multidisciplinarni pristup prevenciji i borbi protiv nasilja u porodici“, koja je održana u Sarajevu od 20. do 22. novembra 2023. godine, u organizaciji Gender centra FBiH u okviru implementacije projekta „Jačanje institucionalnih mehanizama za prevenciju, postupanje i zaštitu u slučajevima nasilja u porodici“, realizovanog u okviru programa UN Women.</w:t>
      </w:r>
    </w:p>
    <w:p w14:paraId="618D889F" w14:textId="77777777" w:rsidR="000F23AE" w:rsidRPr="000C5CA4" w:rsidRDefault="000F23AE" w:rsidP="000F23AE">
      <w:pPr>
        <w:pStyle w:val="NormalWeb"/>
        <w:spacing w:after="160" w:afterAutospacing="0"/>
        <w:rPr>
          <w:rFonts w:asciiTheme="majorHAnsi" w:hAnsiTheme="majorHAnsi"/>
          <w:sz w:val="22"/>
          <w:szCs w:val="22"/>
          <w:lang w:val="bs-Latn-BA"/>
        </w:rPr>
      </w:pPr>
      <w:r w:rsidRPr="000C5CA4">
        <w:rPr>
          <w:rFonts w:asciiTheme="majorHAnsi" w:hAnsiTheme="majorHAnsi"/>
          <w:sz w:val="22"/>
          <w:szCs w:val="22"/>
          <w:lang w:val="bs-Latn-BA"/>
        </w:rPr>
        <w:t xml:space="preserve">U okviru implementacije Strategije za prevenciju, borbu i zaštitu od nasilja u porodici u FBiH provođena je kampanja tokom obilježavanja „16 dana aktivizma“, a zabilježen je povećan broj aktivnosti na lokalnim nivoima u svim kantonima. U okviru 16 dana aktivizma protiv rodno zasnovanog nasilja, nevladine organizacije sa područja Tuzlanskog kantona, uz institucionalnu podršku vladinog sektora održale su niz konferencija i ukazale na ovaj veliki društveni problem, koji sve više prijeti bosanskohercegovačkom društvu. </w:t>
      </w:r>
    </w:p>
    <w:p w14:paraId="0DBF317A" w14:textId="77777777" w:rsidR="000F23AE" w:rsidRPr="000C5CA4" w:rsidRDefault="000F23AE" w:rsidP="000F23AE">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Jedan od dostupnih servisa za žrtve nasilja u porodici na području Tuzlanskog kantona je sigurna kuća koju vodi Udruženje građana Vive Žene Tuzla. Ova organizacija već dugi niz godina pruža sveobuhvatnu pomoć i podršku ženama žrtvama nasilja, u skladu sa Protokolom intervencija u slučajevima nasilja u porodici za Tuzlanski kanton. Pristup sigurnoj kući moguć je putem zahtjeva centara za socijalni rad, policije, zdravstvenih ustanova, pravosudnih organa, kao i na lični zahtjev žrtve. U okviru tretmana žrtvama nasilja obezbjeđuju se sljedeći oblici pomoći: psihoterapijski tretman, socijalno-pravno savjetovanje, body terapija, okupaciona terapija, medicinska pomoć, partnerska i porodična terapija, kao i koordinacija sa nadležnim institucijama i članovima porodice.</w:t>
      </w:r>
    </w:p>
    <w:p w14:paraId="7AD9D681" w14:textId="77777777" w:rsidR="000F23AE" w:rsidRPr="000C5CA4" w:rsidRDefault="000F23AE" w:rsidP="000F23AE">
      <w:pPr>
        <w:pStyle w:val="NormalWeb"/>
        <w:spacing w:before="0" w:beforeAutospacing="0" w:after="160" w:afterAutospacing="0"/>
        <w:rPr>
          <w:rFonts w:asciiTheme="majorHAnsi" w:hAnsiTheme="majorHAnsi"/>
          <w:sz w:val="22"/>
          <w:szCs w:val="22"/>
          <w:lang w:val="bs-Latn-BA"/>
        </w:rPr>
      </w:pPr>
      <w:r w:rsidRPr="000C5CA4">
        <w:rPr>
          <w:rFonts w:asciiTheme="majorHAnsi" w:hAnsiTheme="majorHAnsi"/>
          <w:sz w:val="22"/>
          <w:szCs w:val="22"/>
          <w:lang w:val="bs-Latn-BA"/>
        </w:rPr>
        <w:t>Analizom svih aktivnosti, statističkih pokazatelja i institucionalnog odgovora evidentno je da postoji uzlazni trend u prijavljivanju i prepoznavanju nasilja, kao i napredak u međuresorskoj saradnji i primjeni zakonom propisanih mjera zaštite. Međutim, kontinuirano praćenje, edukacija, međuinstitucionalna saradnja i podrška servisa za pomoć žrtvama ostaju ključni za dalji napredak u ovoj oblasti.</w:t>
      </w:r>
    </w:p>
    <w:p w14:paraId="1207141E" w14:textId="460586D6" w:rsidR="000F23AE" w:rsidRPr="000C5CA4" w:rsidRDefault="000F23AE" w:rsidP="000F23AE">
      <w:pPr>
        <w:spacing w:after="160" w:line="240" w:lineRule="auto"/>
        <w:rPr>
          <w:rFonts w:eastAsia="Times New Roman"/>
          <w:i/>
          <w:sz w:val="20"/>
        </w:rPr>
      </w:pPr>
      <w:r w:rsidRPr="000C5CA4">
        <w:rPr>
          <w:rFonts w:eastAsia="Times New Roman"/>
          <w:i/>
          <w:sz w:val="20"/>
        </w:rPr>
        <w:t>Tabela: Pregled usluga Udruženja Građana Vive žene za žrtve nasilja u porodici</w:t>
      </w:r>
    </w:p>
    <w:tbl>
      <w:tblPr>
        <w:tblStyle w:val="Grid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825"/>
        <w:gridCol w:w="1938"/>
        <w:gridCol w:w="1182"/>
        <w:gridCol w:w="1244"/>
        <w:gridCol w:w="1142"/>
        <w:gridCol w:w="2689"/>
      </w:tblGrid>
      <w:tr w:rsidR="002040D9" w:rsidRPr="000C5CA4" w14:paraId="02AF97CE" w14:textId="77777777" w:rsidTr="002040D9">
        <w:trPr>
          <w:cnfStyle w:val="000000100000" w:firstRow="0" w:lastRow="0" w:firstColumn="0" w:lastColumn="0" w:oddVBand="0" w:evenVBand="0" w:oddHBand="1" w:evenHBand="0" w:firstRowFirstColumn="0" w:firstRowLastColumn="0" w:lastRowFirstColumn="0" w:lastRowLastColumn="0"/>
          <w:trHeight w:val="283"/>
        </w:trPr>
        <w:tc>
          <w:tcPr>
            <w:tcW w:w="0" w:type="auto"/>
            <w:shd w:val="clear" w:color="auto" w:fill="8EAADB" w:themeFill="accent5" w:themeFillTint="99"/>
          </w:tcPr>
          <w:p w14:paraId="349B831D" w14:textId="77777777" w:rsidR="000F23AE" w:rsidRPr="000C5CA4" w:rsidRDefault="000F23AE" w:rsidP="002040D9">
            <w:pPr>
              <w:jc w:val="center"/>
              <w:rPr>
                <w:rFonts w:eastAsia="Times New Roman"/>
                <w:bCs/>
                <w:sz w:val="20"/>
              </w:rPr>
            </w:pPr>
            <w:r w:rsidRPr="000C5CA4">
              <w:rPr>
                <w:rFonts w:eastAsia="Times New Roman"/>
                <w:bCs/>
                <w:sz w:val="20"/>
              </w:rPr>
              <w:lastRenderedPageBreak/>
              <w:t>Godina</w:t>
            </w:r>
          </w:p>
        </w:tc>
        <w:tc>
          <w:tcPr>
            <w:tcW w:w="0" w:type="auto"/>
            <w:shd w:val="clear" w:color="auto" w:fill="8EAADB" w:themeFill="accent5" w:themeFillTint="99"/>
          </w:tcPr>
          <w:p w14:paraId="4D01BC90" w14:textId="77777777" w:rsidR="000F23AE" w:rsidRPr="000C5CA4" w:rsidRDefault="000F23AE" w:rsidP="002040D9">
            <w:pPr>
              <w:jc w:val="center"/>
              <w:rPr>
                <w:rFonts w:eastAsia="Times New Roman"/>
                <w:bCs/>
                <w:sz w:val="20"/>
              </w:rPr>
            </w:pPr>
            <w:r w:rsidRPr="000C5CA4">
              <w:rPr>
                <w:rFonts w:eastAsia="Times New Roman"/>
                <w:bCs/>
                <w:sz w:val="20"/>
              </w:rPr>
              <w:t>Broj poziva na SOS telefon</w:t>
            </w:r>
          </w:p>
        </w:tc>
        <w:tc>
          <w:tcPr>
            <w:tcW w:w="0" w:type="auto"/>
            <w:gridSpan w:val="3"/>
            <w:shd w:val="clear" w:color="auto" w:fill="8EAADB" w:themeFill="accent5" w:themeFillTint="99"/>
          </w:tcPr>
          <w:p w14:paraId="56ABAFA9" w14:textId="77777777" w:rsidR="000F23AE" w:rsidRPr="000C5CA4" w:rsidRDefault="000F23AE" w:rsidP="002040D9">
            <w:pPr>
              <w:jc w:val="center"/>
              <w:rPr>
                <w:rFonts w:eastAsia="Times New Roman"/>
                <w:bCs/>
                <w:sz w:val="20"/>
              </w:rPr>
            </w:pPr>
            <w:r w:rsidRPr="000C5CA4">
              <w:rPr>
                <w:rFonts w:eastAsia="Times New Roman"/>
                <w:bCs/>
                <w:sz w:val="20"/>
              </w:rPr>
              <w:t>Broj korisnika usluge smještaja u Sigurnu kuću</w:t>
            </w:r>
          </w:p>
        </w:tc>
        <w:tc>
          <w:tcPr>
            <w:tcW w:w="0" w:type="auto"/>
            <w:shd w:val="clear" w:color="auto" w:fill="8EAADB" w:themeFill="accent5" w:themeFillTint="99"/>
          </w:tcPr>
          <w:p w14:paraId="137ECDF3" w14:textId="77777777" w:rsidR="000F23AE" w:rsidRPr="000C5CA4" w:rsidRDefault="000F23AE" w:rsidP="002040D9">
            <w:pPr>
              <w:jc w:val="center"/>
              <w:rPr>
                <w:rFonts w:eastAsia="Times New Roman"/>
                <w:bCs/>
                <w:sz w:val="20"/>
              </w:rPr>
            </w:pPr>
            <w:r w:rsidRPr="000C5CA4">
              <w:rPr>
                <w:rFonts w:eastAsia="Times New Roman"/>
                <w:bCs/>
                <w:sz w:val="20"/>
              </w:rPr>
              <w:t>Broj korisnika usluga dnevnog tretmana</w:t>
            </w:r>
          </w:p>
        </w:tc>
      </w:tr>
      <w:tr w:rsidR="002040D9" w:rsidRPr="000C5CA4" w14:paraId="191AD598" w14:textId="77777777" w:rsidTr="00F520C7">
        <w:trPr>
          <w:trHeight w:val="283"/>
        </w:trPr>
        <w:tc>
          <w:tcPr>
            <w:tcW w:w="0" w:type="auto"/>
            <w:gridSpan w:val="2"/>
            <w:shd w:val="clear" w:color="auto" w:fill="FFE599" w:themeFill="accent4" w:themeFillTint="66"/>
          </w:tcPr>
          <w:p w14:paraId="5AD731E1" w14:textId="77777777" w:rsidR="002040D9" w:rsidRPr="000C5CA4" w:rsidRDefault="002040D9" w:rsidP="002040D9">
            <w:pPr>
              <w:jc w:val="center"/>
              <w:rPr>
                <w:rFonts w:eastAsia="Times New Roman"/>
                <w:sz w:val="20"/>
              </w:rPr>
            </w:pPr>
          </w:p>
        </w:tc>
        <w:tc>
          <w:tcPr>
            <w:tcW w:w="0" w:type="auto"/>
            <w:shd w:val="clear" w:color="auto" w:fill="FFE599" w:themeFill="accent4" w:themeFillTint="66"/>
          </w:tcPr>
          <w:p w14:paraId="0CA16F37" w14:textId="77777777" w:rsidR="002040D9" w:rsidRPr="000C5CA4" w:rsidRDefault="002040D9" w:rsidP="002040D9">
            <w:pPr>
              <w:jc w:val="center"/>
              <w:rPr>
                <w:rFonts w:eastAsia="Times New Roman"/>
                <w:sz w:val="20"/>
              </w:rPr>
            </w:pPr>
            <w:r w:rsidRPr="000C5CA4">
              <w:rPr>
                <w:rFonts w:eastAsia="Times New Roman"/>
                <w:sz w:val="20"/>
              </w:rPr>
              <w:t>Broj žena</w:t>
            </w:r>
          </w:p>
        </w:tc>
        <w:tc>
          <w:tcPr>
            <w:tcW w:w="0" w:type="auto"/>
            <w:shd w:val="clear" w:color="auto" w:fill="FFE599" w:themeFill="accent4" w:themeFillTint="66"/>
          </w:tcPr>
          <w:p w14:paraId="283448BB" w14:textId="77777777" w:rsidR="002040D9" w:rsidRPr="000C5CA4" w:rsidRDefault="002040D9" w:rsidP="002040D9">
            <w:pPr>
              <w:jc w:val="center"/>
              <w:rPr>
                <w:rFonts w:eastAsia="Times New Roman"/>
                <w:sz w:val="20"/>
              </w:rPr>
            </w:pPr>
            <w:r w:rsidRPr="000C5CA4">
              <w:rPr>
                <w:rFonts w:eastAsia="Times New Roman"/>
                <w:sz w:val="20"/>
              </w:rPr>
              <w:t>Broj djece</w:t>
            </w:r>
          </w:p>
        </w:tc>
        <w:tc>
          <w:tcPr>
            <w:tcW w:w="0" w:type="auto"/>
            <w:shd w:val="clear" w:color="auto" w:fill="FFE599" w:themeFill="accent4" w:themeFillTint="66"/>
          </w:tcPr>
          <w:p w14:paraId="78D6E6CD" w14:textId="77777777" w:rsidR="002040D9" w:rsidRPr="000C5CA4" w:rsidRDefault="002040D9" w:rsidP="002040D9">
            <w:pPr>
              <w:jc w:val="center"/>
              <w:rPr>
                <w:rFonts w:eastAsia="Times New Roman"/>
                <w:sz w:val="20"/>
              </w:rPr>
            </w:pPr>
            <w:r w:rsidRPr="000C5CA4">
              <w:rPr>
                <w:rFonts w:eastAsia="Times New Roman"/>
                <w:sz w:val="20"/>
              </w:rPr>
              <w:t>Ukupno</w:t>
            </w:r>
          </w:p>
        </w:tc>
        <w:tc>
          <w:tcPr>
            <w:tcW w:w="2689" w:type="dxa"/>
            <w:shd w:val="clear" w:color="auto" w:fill="FFE599" w:themeFill="accent4" w:themeFillTint="66"/>
          </w:tcPr>
          <w:p w14:paraId="67614181" w14:textId="77777777" w:rsidR="002040D9" w:rsidRPr="000C5CA4" w:rsidRDefault="002040D9" w:rsidP="002040D9">
            <w:pPr>
              <w:jc w:val="center"/>
              <w:rPr>
                <w:rFonts w:eastAsia="Times New Roman"/>
                <w:sz w:val="20"/>
              </w:rPr>
            </w:pPr>
          </w:p>
        </w:tc>
      </w:tr>
      <w:tr w:rsidR="002040D9" w:rsidRPr="000C5CA4" w14:paraId="1014B007" w14:textId="77777777" w:rsidTr="002040D9">
        <w:trPr>
          <w:cnfStyle w:val="000000100000" w:firstRow="0" w:lastRow="0" w:firstColumn="0" w:lastColumn="0" w:oddVBand="0" w:evenVBand="0" w:oddHBand="1" w:evenHBand="0" w:firstRowFirstColumn="0" w:firstRowLastColumn="0" w:lastRowFirstColumn="0" w:lastRowLastColumn="0"/>
          <w:trHeight w:val="283"/>
        </w:trPr>
        <w:tc>
          <w:tcPr>
            <w:tcW w:w="0" w:type="auto"/>
            <w:shd w:val="clear" w:color="auto" w:fill="B4C6E7" w:themeFill="accent5" w:themeFillTint="66"/>
          </w:tcPr>
          <w:p w14:paraId="3580F8FE" w14:textId="77777777" w:rsidR="000F23AE" w:rsidRPr="000C5CA4" w:rsidRDefault="000F23AE" w:rsidP="002040D9">
            <w:pPr>
              <w:rPr>
                <w:rFonts w:eastAsia="Times New Roman"/>
                <w:sz w:val="20"/>
              </w:rPr>
            </w:pPr>
            <w:r w:rsidRPr="000C5CA4">
              <w:rPr>
                <w:rFonts w:eastAsia="Times New Roman"/>
                <w:sz w:val="20"/>
              </w:rPr>
              <w:t>2021.</w:t>
            </w:r>
          </w:p>
        </w:tc>
        <w:tc>
          <w:tcPr>
            <w:tcW w:w="0" w:type="auto"/>
          </w:tcPr>
          <w:p w14:paraId="2FDCFAC5" w14:textId="77777777" w:rsidR="000F23AE" w:rsidRPr="000C5CA4" w:rsidRDefault="000F23AE" w:rsidP="002040D9">
            <w:pPr>
              <w:jc w:val="center"/>
              <w:rPr>
                <w:rFonts w:eastAsia="Times New Roman"/>
                <w:sz w:val="20"/>
              </w:rPr>
            </w:pPr>
            <w:r w:rsidRPr="000C5CA4">
              <w:rPr>
                <w:rFonts w:eastAsia="Times New Roman"/>
                <w:sz w:val="20"/>
              </w:rPr>
              <w:t>52</w:t>
            </w:r>
          </w:p>
        </w:tc>
        <w:tc>
          <w:tcPr>
            <w:tcW w:w="0" w:type="auto"/>
          </w:tcPr>
          <w:p w14:paraId="4B8D30E1" w14:textId="77777777" w:rsidR="000F23AE" w:rsidRPr="000C5CA4" w:rsidRDefault="000F23AE" w:rsidP="002040D9">
            <w:pPr>
              <w:jc w:val="center"/>
              <w:rPr>
                <w:rFonts w:eastAsia="Times New Roman"/>
                <w:sz w:val="20"/>
              </w:rPr>
            </w:pPr>
            <w:r w:rsidRPr="000C5CA4">
              <w:rPr>
                <w:rFonts w:eastAsia="Times New Roman"/>
                <w:sz w:val="20"/>
              </w:rPr>
              <w:t>52</w:t>
            </w:r>
          </w:p>
        </w:tc>
        <w:tc>
          <w:tcPr>
            <w:tcW w:w="0" w:type="auto"/>
          </w:tcPr>
          <w:p w14:paraId="0299155D" w14:textId="77777777" w:rsidR="000F23AE" w:rsidRPr="000C5CA4" w:rsidRDefault="000F23AE" w:rsidP="002040D9">
            <w:pPr>
              <w:jc w:val="center"/>
              <w:rPr>
                <w:rFonts w:eastAsia="Times New Roman"/>
                <w:sz w:val="20"/>
              </w:rPr>
            </w:pPr>
            <w:r w:rsidRPr="000C5CA4">
              <w:rPr>
                <w:rFonts w:eastAsia="Times New Roman"/>
                <w:sz w:val="20"/>
              </w:rPr>
              <w:t>54</w:t>
            </w:r>
          </w:p>
        </w:tc>
        <w:tc>
          <w:tcPr>
            <w:tcW w:w="0" w:type="auto"/>
          </w:tcPr>
          <w:p w14:paraId="45D53A4C" w14:textId="77777777" w:rsidR="000F23AE" w:rsidRPr="000C5CA4" w:rsidRDefault="000F23AE" w:rsidP="002040D9">
            <w:pPr>
              <w:jc w:val="center"/>
              <w:rPr>
                <w:rFonts w:eastAsia="Times New Roman"/>
                <w:sz w:val="20"/>
              </w:rPr>
            </w:pPr>
            <w:r w:rsidRPr="000C5CA4">
              <w:rPr>
                <w:rFonts w:eastAsia="Times New Roman"/>
                <w:sz w:val="20"/>
              </w:rPr>
              <w:t>106</w:t>
            </w:r>
          </w:p>
        </w:tc>
        <w:tc>
          <w:tcPr>
            <w:tcW w:w="2689" w:type="dxa"/>
          </w:tcPr>
          <w:p w14:paraId="202A4137" w14:textId="77777777" w:rsidR="000F23AE" w:rsidRPr="000C5CA4" w:rsidRDefault="000F23AE" w:rsidP="002040D9">
            <w:pPr>
              <w:jc w:val="center"/>
              <w:rPr>
                <w:rFonts w:eastAsia="Times New Roman"/>
                <w:sz w:val="20"/>
              </w:rPr>
            </w:pPr>
            <w:r w:rsidRPr="000C5CA4">
              <w:rPr>
                <w:rFonts w:eastAsia="Times New Roman"/>
                <w:sz w:val="20"/>
              </w:rPr>
              <w:t>276</w:t>
            </w:r>
          </w:p>
        </w:tc>
      </w:tr>
      <w:tr w:rsidR="002040D9" w:rsidRPr="000C5CA4" w14:paraId="5684958D" w14:textId="77777777" w:rsidTr="002040D9">
        <w:trPr>
          <w:trHeight w:val="283"/>
        </w:trPr>
        <w:tc>
          <w:tcPr>
            <w:tcW w:w="0" w:type="auto"/>
            <w:shd w:val="clear" w:color="auto" w:fill="B4C6E7" w:themeFill="accent5" w:themeFillTint="66"/>
          </w:tcPr>
          <w:p w14:paraId="04B1B63E" w14:textId="77777777" w:rsidR="000F23AE" w:rsidRPr="000C5CA4" w:rsidRDefault="000F23AE" w:rsidP="002040D9">
            <w:pPr>
              <w:rPr>
                <w:rFonts w:eastAsia="Times New Roman"/>
                <w:sz w:val="20"/>
              </w:rPr>
            </w:pPr>
            <w:r w:rsidRPr="000C5CA4">
              <w:rPr>
                <w:rFonts w:eastAsia="Times New Roman"/>
                <w:sz w:val="20"/>
              </w:rPr>
              <w:t>2022.</w:t>
            </w:r>
          </w:p>
        </w:tc>
        <w:tc>
          <w:tcPr>
            <w:tcW w:w="0" w:type="auto"/>
            <w:shd w:val="clear" w:color="auto" w:fill="FFE599" w:themeFill="accent4" w:themeFillTint="66"/>
          </w:tcPr>
          <w:p w14:paraId="30A916C1" w14:textId="77777777" w:rsidR="000F23AE" w:rsidRPr="000C5CA4" w:rsidRDefault="000F23AE" w:rsidP="002040D9">
            <w:pPr>
              <w:jc w:val="center"/>
              <w:rPr>
                <w:rFonts w:eastAsia="Times New Roman"/>
                <w:sz w:val="20"/>
              </w:rPr>
            </w:pPr>
            <w:r w:rsidRPr="000C5CA4">
              <w:rPr>
                <w:rFonts w:eastAsia="Times New Roman"/>
                <w:sz w:val="20"/>
              </w:rPr>
              <w:t>52</w:t>
            </w:r>
          </w:p>
        </w:tc>
        <w:tc>
          <w:tcPr>
            <w:tcW w:w="0" w:type="auto"/>
            <w:shd w:val="clear" w:color="auto" w:fill="FFE599" w:themeFill="accent4" w:themeFillTint="66"/>
          </w:tcPr>
          <w:p w14:paraId="61DAC6B9" w14:textId="77777777" w:rsidR="000F23AE" w:rsidRPr="000C5CA4" w:rsidRDefault="000F23AE" w:rsidP="002040D9">
            <w:pPr>
              <w:jc w:val="center"/>
              <w:rPr>
                <w:rFonts w:eastAsia="Times New Roman"/>
                <w:sz w:val="20"/>
              </w:rPr>
            </w:pPr>
            <w:r w:rsidRPr="000C5CA4">
              <w:rPr>
                <w:rFonts w:eastAsia="Times New Roman"/>
                <w:sz w:val="20"/>
              </w:rPr>
              <w:t>55</w:t>
            </w:r>
          </w:p>
        </w:tc>
        <w:tc>
          <w:tcPr>
            <w:tcW w:w="0" w:type="auto"/>
            <w:shd w:val="clear" w:color="auto" w:fill="FFE599" w:themeFill="accent4" w:themeFillTint="66"/>
          </w:tcPr>
          <w:p w14:paraId="21069488" w14:textId="77777777" w:rsidR="000F23AE" w:rsidRPr="000C5CA4" w:rsidRDefault="000F23AE" w:rsidP="002040D9">
            <w:pPr>
              <w:jc w:val="center"/>
              <w:rPr>
                <w:rFonts w:eastAsia="Times New Roman"/>
                <w:sz w:val="20"/>
              </w:rPr>
            </w:pPr>
            <w:r w:rsidRPr="000C5CA4">
              <w:rPr>
                <w:rFonts w:eastAsia="Times New Roman"/>
                <w:sz w:val="20"/>
              </w:rPr>
              <w:t>47</w:t>
            </w:r>
          </w:p>
        </w:tc>
        <w:tc>
          <w:tcPr>
            <w:tcW w:w="0" w:type="auto"/>
            <w:shd w:val="clear" w:color="auto" w:fill="FFE599" w:themeFill="accent4" w:themeFillTint="66"/>
          </w:tcPr>
          <w:p w14:paraId="147CD969" w14:textId="77777777" w:rsidR="000F23AE" w:rsidRPr="000C5CA4" w:rsidRDefault="000F23AE" w:rsidP="002040D9">
            <w:pPr>
              <w:jc w:val="center"/>
              <w:rPr>
                <w:rFonts w:eastAsia="Times New Roman"/>
                <w:sz w:val="20"/>
              </w:rPr>
            </w:pPr>
            <w:r w:rsidRPr="000C5CA4">
              <w:rPr>
                <w:rFonts w:eastAsia="Times New Roman"/>
                <w:sz w:val="20"/>
              </w:rPr>
              <w:t>102</w:t>
            </w:r>
          </w:p>
        </w:tc>
        <w:tc>
          <w:tcPr>
            <w:tcW w:w="2689" w:type="dxa"/>
            <w:shd w:val="clear" w:color="auto" w:fill="FFE599" w:themeFill="accent4" w:themeFillTint="66"/>
          </w:tcPr>
          <w:p w14:paraId="14AD46DF" w14:textId="77777777" w:rsidR="000F23AE" w:rsidRPr="000C5CA4" w:rsidRDefault="000F23AE" w:rsidP="002040D9">
            <w:pPr>
              <w:jc w:val="center"/>
              <w:rPr>
                <w:rFonts w:eastAsia="Times New Roman"/>
                <w:sz w:val="20"/>
              </w:rPr>
            </w:pPr>
            <w:r w:rsidRPr="000C5CA4">
              <w:rPr>
                <w:rFonts w:eastAsia="Times New Roman"/>
                <w:sz w:val="20"/>
              </w:rPr>
              <w:t>221</w:t>
            </w:r>
          </w:p>
        </w:tc>
      </w:tr>
      <w:tr w:rsidR="002040D9" w:rsidRPr="000C5CA4" w14:paraId="00284BA2" w14:textId="77777777" w:rsidTr="002040D9">
        <w:trPr>
          <w:cnfStyle w:val="000000100000" w:firstRow="0" w:lastRow="0" w:firstColumn="0" w:lastColumn="0" w:oddVBand="0" w:evenVBand="0" w:oddHBand="1" w:evenHBand="0" w:firstRowFirstColumn="0" w:firstRowLastColumn="0" w:lastRowFirstColumn="0" w:lastRowLastColumn="0"/>
          <w:trHeight w:val="283"/>
        </w:trPr>
        <w:tc>
          <w:tcPr>
            <w:tcW w:w="0" w:type="auto"/>
            <w:shd w:val="clear" w:color="auto" w:fill="B4C6E7" w:themeFill="accent5" w:themeFillTint="66"/>
          </w:tcPr>
          <w:p w14:paraId="376A396F" w14:textId="77777777" w:rsidR="000F23AE" w:rsidRPr="000C5CA4" w:rsidRDefault="000F23AE" w:rsidP="002040D9">
            <w:pPr>
              <w:rPr>
                <w:rFonts w:eastAsia="Times New Roman"/>
                <w:sz w:val="20"/>
              </w:rPr>
            </w:pPr>
            <w:r w:rsidRPr="000C5CA4">
              <w:rPr>
                <w:rFonts w:eastAsia="Times New Roman"/>
                <w:sz w:val="20"/>
              </w:rPr>
              <w:t>2023</w:t>
            </w:r>
          </w:p>
        </w:tc>
        <w:tc>
          <w:tcPr>
            <w:tcW w:w="0" w:type="auto"/>
          </w:tcPr>
          <w:p w14:paraId="012A30CB" w14:textId="77777777" w:rsidR="000F23AE" w:rsidRPr="000C5CA4" w:rsidRDefault="000F23AE" w:rsidP="002040D9">
            <w:pPr>
              <w:jc w:val="center"/>
              <w:rPr>
                <w:rFonts w:eastAsia="Times New Roman"/>
                <w:sz w:val="20"/>
              </w:rPr>
            </w:pPr>
            <w:r w:rsidRPr="000C5CA4">
              <w:rPr>
                <w:rFonts w:eastAsia="Times New Roman"/>
                <w:sz w:val="20"/>
              </w:rPr>
              <w:t>52</w:t>
            </w:r>
          </w:p>
        </w:tc>
        <w:tc>
          <w:tcPr>
            <w:tcW w:w="0" w:type="auto"/>
          </w:tcPr>
          <w:p w14:paraId="4A9E8A93" w14:textId="77777777" w:rsidR="000F23AE" w:rsidRPr="000C5CA4" w:rsidRDefault="000F23AE" w:rsidP="002040D9">
            <w:pPr>
              <w:jc w:val="center"/>
              <w:rPr>
                <w:rFonts w:eastAsia="Times New Roman"/>
                <w:sz w:val="20"/>
              </w:rPr>
            </w:pPr>
            <w:r w:rsidRPr="000C5CA4">
              <w:rPr>
                <w:rFonts w:eastAsia="Times New Roman"/>
                <w:sz w:val="20"/>
              </w:rPr>
              <w:t>60</w:t>
            </w:r>
          </w:p>
        </w:tc>
        <w:tc>
          <w:tcPr>
            <w:tcW w:w="0" w:type="auto"/>
          </w:tcPr>
          <w:p w14:paraId="3F371766" w14:textId="77777777" w:rsidR="000F23AE" w:rsidRPr="000C5CA4" w:rsidRDefault="000F23AE" w:rsidP="002040D9">
            <w:pPr>
              <w:jc w:val="center"/>
              <w:rPr>
                <w:rFonts w:eastAsia="Times New Roman"/>
                <w:sz w:val="20"/>
              </w:rPr>
            </w:pPr>
            <w:r w:rsidRPr="000C5CA4">
              <w:rPr>
                <w:rFonts w:eastAsia="Times New Roman"/>
                <w:sz w:val="20"/>
              </w:rPr>
              <w:t>66</w:t>
            </w:r>
          </w:p>
        </w:tc>
        <w:tc>
          <w:tcPr>
            <w:tcW w:w="0" w:type="auto"/>
          </w:tcPr>
          <w:p w14:paraId="3F897BDF" w14:textId="77777777" w:rsidR="000F23AE" w:rsidRPr="000C5CA4" w:rsidRDefault="000F23AE" w:rsidP="002040D9">
            <w:pPr>
              <w:jc w:val="center"/>
              <w:rPr>
                <w:rFonts w:eastAsia="Times New Roman"/>
                <w:sz w:val="20"/>
              </w:rPr>
            </w:pPr>
            <w:r w:rsidRPr="000C5CA4">
              <w:rPr>
                <w:rFonts w:eastAsia="Times New Roman"/>
                <w:sz w:val="20"/>
              </w:rPr>
              <w:t>126</w:t>
            </w:r>
          </w:p>
        </w:tc>
        <w:tc>
          <w:tcPr>
            <w:tcW w:w="2689" w:type="dxa"/>
          </w:tcPr>
          <w:p w14:paraId="1861EF5C" w14:textId="77777777" w:rsidR="000F23AE" w:rsidRPr="000C5CA4" w:rsidRDefault="000F23AE" w:rsidP="002040D9">
            <w:pPr>
              <w:jc w:val="center"/>
              <w:rPr>
                <w:rFonts w:eastAsia="Times New Roman"/>
                <w:sz w:val="20"/>
              </w:rPr>
            </w:pPr>
            <w:r w:rsidRPr="000C5CA4">
              <w:rPr>
                <w:rFonts w:eastAsia="Times New Roman"/>
                <w:sz w:val="20"/>
              </w:rPr>
              <w:t>287</w:t>
            </w:r>
          </w:p>
        </w:tc>
      </w:tr>
      <w:tr w:rsidR="002040D9" w:rsidRPr="000C5CA4" w14:paraId="590AC6F7" w14:textId="77777777" w:rsidTr="002040D9">
        <w:trPr>
          <w:trHeight w:val="283"/>
        </w:trPr>
        <w:tc>
          <w:tcPr>
            <w:tcW w:w="0" w:type="auto"/>
            <w:shd w:val="clear" w:color="auto" w:fill="B4C6E7" w:themeFill="accent5" w:themeFillTint="66"/>
          </w:tcPr>
          <w:p w14:paraId="24EA239A" w14:textId="77777777" w:rsidR="000F23AE" w:rsidRPr="000C5CA4" w:rsidRDefault="000F23AE" w:rsidP="002040D9">
            <w:pPr>
              <w:rPr>
                <w:rFonts w:eastAsia="Times New Roman"/>
                <w:sz w:val="20"/>
              </w:rPr>
            </w:pPr>
            <w:r w:rsidRPr="000C5CA4">
              <w:rPr>
                <w:rFonts w:eastAsia="Times New Roman"/>
                <w:sz w:val="20"/>
              </w:rPr>
              <w:t>2024.</w:t>
            </w:r>
          </w:p>
        </w:tc>
        <w:tc>
          <w:tcPr>
            <w:tcW w:w="0" w:type="auto"/>
            <w:shd w:val="clear" w:color="auto" w:fill="FFE599" w:themeFill="accent4" w:themeFillTint="66"/>
          </w:tcPr>
          <w:p w14:paraId="456482B2" w14:textId="77777777" w:rsidR="000F23AE" w:rsidRPr="000C5CA4" w:rsidRDefault="000F23AE" w:rsidP="002040D9">
            <w:pPr>
              <w:jc w:val="center"/>
              <w:rPr>
                <w:rFonts w:eastAsia="Times New Roman"/>
                <w:sz w:val="20"/>
              </w:rPr>
            </w:pPr>
            <w:r w:rsidRPr="000C5CA4">
              <w:rPr>
                <w:rFonts w:eastAsia="Times New Roman"/>
                <w:sz w:val="20"/>
              </w:rPr>
              <w:t>52</w:t>
            </w:r>
          </w:p>
        </w:tc>
        <w:tc>
          <w:tcPr>
            <w:tcW w:w="0" w:type="auto"/>
            <w:shd w:val="clear" w:color="auto" w:fill="FFE599" w:themeFill="accent4" w:themeFillTint="66"/>
          </w:tcPr>
          <w:p w14:paraId="3BF6ADEC" w14:textId="77777777" w:rsidR="000F23AE" w:rsidRPr="000C5CA4" w:rsidRDefault="000F23AE" w:rsidP="002040D9">
            <w:pPr>
              <w:jc w:val="center"/>
              <w:rPr>
                <w:rFonts w:eastAsia="Times New Roman"/>
                <w:sz w:val="20"/>
              </w:rPr>
            </w:pPr>
            <w:r w:rsidRPr="000C5CA4">
              <w:rPr>
                <w:rFonts w:eastAsia="Times New Roman"/>
                <w:sz w:val="20"/>
              </w:rPr>
              <w:t>57</w:t>
            </w:r>
          </w:p>
        </w:tc>
        <w:tc>
          <w:tcPr>
            <w:tcW w:w="0" w:type="auto"/>
            <w:shd w:val="clear" w:color="auto" w:fill="FFE599" w:themeFill="accent4" w:themeFillTint="66"/>
          </w:tcPr>
          <w:p w14:paraId="017B069D" w14:textId="77777777" w:rsidR="000F23AE" w:rsidRPr="000C5CA4" w:rsidRDefault="000F23AE" w:rsidP="002040D9">
            <w:pPr>
              <w:jc w:val="center"/>
              <w:rPr>
                <w:rFonts w:eastAsia="Times New Roman"/>
                <w:sz w:val="20"/>
              </w:rPr>
            </w:pPr>
            <w:r w:rsidRPr="000C5CA4">
              <w:rPr>
                <w:rFonts w:eastAsia="Times New Roman"/>
                <w:sz w:val="20"/>
              </w:rPr>
              <w:t>60</w:t>
            </w:r>
          </w:p>
        </w:tc>
        <w:tc>
          <w:tcPr>
            <w:tcW w:w="0" w:type="auto"/>
            <w:shd w:val="clear" w:color="auto" w:fill="FFE599" w:themeFill="accent4" w:themeFillTint="66"/>
          </w:tcPr>
          <w:p w14:paraId="67B95A46" w14:textId="77777777" w:rsidR="000F23AE" w:rsidRPr="000C5CA4" w:rsidRDefault="000F23AE" w:rsidP="002040D9">
            <w:pPr>
              <w:jc w:val="center"/>
              <w:rPr>
                <w:rFonts w:eastAsia="Times New Roman"/>
                <w:sz w:val="20"/>
              </w:rPr>
            </w:pPr>
            <w:r w:rsidRPr="000C5CA4">
              <w:rPr>
                <w:rFonts w:eastAsia="Times New Roman"/>
                <w:sz w:val="20"/>
              </w:rPr>
              <w:t>117</w:t>
            </w:r>
          </w:p>
        </w:tc>
        <w:tc>
          <w:tcPr>
            <w:tcW w:w="2689" w:type="dxa"/>
            <w:shd w:val="clear" w:color="auto" w:fill="FFE599" w:themeFill="accent4" w:themeFillTint="66"/>
          </w:tcPr>
          <w:p w14:paraId="4CC913D6" w14:textId="77777777" w:rsidR="000F23AE" w:rsidRPr="000C5CA4" w:rsidRDefault="000F23AE" w:rsidP="002040D9">
            <w:pPr>
              <w:jc w:val="center"/>
              <w:rPr>
                <w:rFonts w:eastAsia="Times New Roman"/>
                <w:sz w:val="20"/>
              </w:rPr>
            </w:pPr>
            <w:r w:rsidRPr="000C5CA4">
              <w:rPr>
                <w:rFonts w:eastAsia="Times New Roman"/>
                <w:sz w:val="20"/>
              </w:rPr>
              <w:t>192</w:t>
            </w:r>
          </w:p>
        </w:tc>
      </w:tr>
    </w:tbl>
    <w:p w14:paraId="0D7FE3DA" w14:textId="77777777" w:rsidR="000F23AE" w:rsidRPr="000C5CA4" w:rsidRDefault="000F23AE" w:rsidP="000F23AE">
      <w:pPr>
        <w:spacing w:after="160" w:line="240" w:lineRule="auto"/>
        <w:rPr>
          <w:rFonts w:eastAsia="Times New Roman"/>
          <w:sz w:val="20"/>
        </w:rPr>
      </w:pPr>
    </w:p>
    <w:p w14:paraId="7E54C7CE" w14:textId="3D5F4348" w:rsidR="000F23AE" w:rsidRPr="000C5CA4" w:rsidRDefault="000F23AE" w:rsidP="00140CE9">
      <w:pPr>
        <w:spacing w:after="160" w:line="276" w:lineRule="auto"/>
        <w:rPr>
          <w:rFonts w:eastAsia="Times New Roman"/>
          <w:sz w:val="22"/>
        </w:rPr>
      </w:pPr>
      <w:r w:rsidRPr="000C5CA4">
        <w:rPr>
          <w:rFonts w:eastAsia="Times New Roman"/>
          <w:sz w:val="22"/>
        </w:rPr>
        <w:t>U 2024.</w:t>
      </w:r>
      <w:r w:rsidR="002040D9" w:rsidRPr="000C5CA4">
        <w:rPr>
          <w:rFonts w:eastAsia="Times New Roman"/>
          <w:sz w:val="22"/>
        </w:rPr>
        <w:t xml:space="preserve"> </w:t>
      </w:r>
      <w:r w:rsidRPr="000C5CA4">
        <w:rPr>
          <w:rFonts w:eastAsia="Times New Roman"/>
          <w:sz w:val="22"/>
        </w:rPr>
        <w:t>g</w:t>
      </w:r>
      <w:r w:rsidR="002040D9" w:rsidRPr="000C5CA4">
        <w:rPr>
          <w:rFonts w:eastAsia="Times New Roman"/>
          <w:sz w:val="22"/>
        </w:rPr>
        <w:t>odini</w:t>
      </w:r>
      <w:r w:rsidRPr="000C5CA4">
        <w:rPr>
          <w:rFonts w:eastAsia="Times New Roman"/>
          <w:sz w:val="22"/>
        </w:rPr>
        <w:t xml:space="preserve"> u Sigurnoj kući, na psihosocijalnom tretmanu je bilo 117 osoba. U poređenju sa 2023.</w:t>
      </w:r>
      <w:r w:rsidR="002040D9" w:rsidRPr="000C5CA4">
        <w:rPr>
          <w:rFonts w:eastAsia="Times New Roman"/>
          <w:sz w:val="22"/>
        </w:rPr>
        <w:t xml:space="preserve"> godini</w:t>
      </w:r>
      <w:r w:rsidRPr="000C5CA4">
        <w:rPr>
          <w:rFonts w:eastAsia="Times New Roman"/>
          <w:sz w:val="22"/>
        </w:rPr>
        <w:t xml:space="preserve"> nije zabilježen značajno veći broj smještenih osoba. Od ukupnog broja osoba 57 je osoba ženskog spola 60 djece. Od ukupnog broja djec</w:t>
      </w:r>
      <w:r w:rsidR="006B000C" w:rsidRPr="000C5CA4">
        <w:rPr>
          <w:rFonts w:eastAsia="Times New Roman"/>
          <w:sz w:val="22"/>
        </w:rPr>
        <w:t>e 25 je dječaka i 35 djevojčica.</w:t>
      </w:r>
    </w:p>
    <w:p w14:paraId="15823116" w14:textId="77777777" w:rsidR="000F23AE" w:rsidRPr="000C5CA4" w:rsidRDefault="000F23AE" w:rsidP="00140CE9">
      <w:pPr>
        <w:spacing w:after="160" w:line="276" w:lineRule="auto"/>
        <w:rPr>
          <w:rFonts w:eastAsia="Times New Roman"/>
          <w:sz w:val="22"/>
        </w:rPr>
      </w:pPr>
      <w:r w:rsidRPr="000C5CA4">
        <w:rPr>
          <w:rFonts w:eastAsia="Times New Roman"/>
          <w:sz w:val="22"/>
        </w:rPr>
        <w:t>Pored smještaja u sigurnu kuću, udruženje građana „Vive Žene“ je obezbijedilo psiho-socijalni tretman za 192 osobe. Od ukupnog broja, 10 je muškaraca, 18 djece i 164 je osoba ženskog spola. Osobe su se uglavnom obraćale za pomoć zbog nasilja u porodici. U nastavku psihosocijalnog tretmana, ovim osobama je pruženo socijalno i pravno savjetovanje, psihoterapija, podrška psihologa, zdravstvena pomoć, prijava nasilja i animiranje drugih institucija za angažovanje na slučaju.</w:t>
      </w:r>
    </w:p>
    <w:p w14:paraId="3EA1C739" w14:textId="77777777" w:rsidR="000F23AE" w:rsidRPr="000C5CA4" w:rsidRDefault="000F23AE" w:rsidP="00140CE9">
      <w:pPr>
        <w:spacing w:after="160" w:line="276" w:lineRule="auto"/>
        <w:rPr>
          <w:rFonts w:eastAsia="Times New Roman"/>
          <w:sz w:val="22"/>
        </w:rPr>
      </w:pPr>
      <w:r w:rsidRPr="000C5CA4">
        <w:rPr>
          <w:rFonts w:eastAsia="Times New Roman"/>
          <w:sz w:val="22"/>
        </w:rPr>
        <w:t xml:space="preserve">Vlada Tuzlanskog kantona je tokom 2023.godine osigurala 114.000 KM za finansiranje sigurne kuće koja djeluje u okviru Udruženja građana Vive Žene Tuzla, a u 2024. godini obezbijeđena su sredstva u visini od 134.000,00 KM. </w:t>
      </w:r>
    </w:p>
    <w:p w14:paraId="5F64B251" w14:textId="77777777" w:rsidR="000F23AE" w:rsidRPr="000C5CA4" w:rsidRDefault="000F23AE" w:rsidP="00140CE9">
      <w:pPr>
        <w:spacing w:after="160" w:line="276" w:lineRule="auto"/>
        <w:rPr>
          <w:rFonts w:eastAsia="Times New Roman"/>
          <w:sz w:val="22"/>
        </w:rPr>
      </w:pPr>
      <w:r w:rsidRPr="000C5CA4">
        <w:rPr>
          <w:rFonts w:eastAsia="Times New Roman"/>
          <w:sz w:val="22"/>
        </w:rPr>
        <w:t>Prema podacima Ministarstva unutrašnjih poslova Tuzlanskog kantona, tokom 2024. godine nadležnom Kantonalnom tužilaštvu podneseno je ukupno 244 izvještaja o učinjenom krivičnom djelu nasilja u porodici, što predstavlja povećanje od 17,9% u odnosu na 2023. godinu, kada je podneseno 207 izvještaja. Broj prijavljenih lica za navedeno krivično djelo u 2024. godini iznosio je 245, što je za 37 više u odnosu na prethodnu godinu. Među prijavljenima, 73 lica su evidentirana kao recidivisti.</w:t>
      </w:r>
    </w:p>
    <w:p w14:paraId="3519BABF" w14:textId="77777777" w:rsidR="000F23AE" w:rsidRPr="000C5CA4" w:rsidRDefault="000F23AE" w:rsidP="00140CE9">
      <w:pPr>
        <w:spacing w:after="160" w:line="276" w:lineRule="auto"/>
        <w:rPr>
          <w:rFonts w:eastAsia="Times New Roman"/>
          <w:sz w:val="22"/>
        </w:rPr>
      </w:pPr>
      <w:r w:rsidRPr="000C5CA4">
        <w:rPr>
          <w:rFonts w:eastAsia="Times New Roman"/>
          <w:sz w:val="22"/>
        </w:rPr>
        <w:t>U pogledu zahtjeva za izricanje zaštitnih mjera, tokom perioda januar–decembar 2024. godine, ovlaštena službena lica Uprave policije MUP TK podnijela su nadležnim općinskim sudovima 395 zahtjeva za ukupno 932 zaštitne mjere (ne uključujući privremeno lišenje slobode i zadržavanje). Na osnovu tih zahtjeva, sudovi su donijeli 371 rješenje, kojim je izrečeno 863 zaštitne mjere. U poređenju s 2023. godinom, kada je bilo podneseno 230 zahtjeva za 516 zaštitnih mjera, a sudovi izrekli 223 rješenja za 485 mjera, jasno je vidljivo da je tokom 2024. godine došlo do značajnog porasta i u broju zahtjeva i u broju izrečenih zaštitnih mjera.</w:t>
      </w:r>
    </w:p>
    <w:p w14:paraId="371E0BC0" w14:textId="77777777" w:rsidR="000F23AE" w:rsidRPr="000C5CA4" w:rsidRDefault="000F23AE" w:rsidP="00140CE9">
      <w:pPr>
        <w:spacing w:after="160" w:line="276" w:lineRule="auto"/>
        <w:rPr>
          <w:rFonts w:eastAsia="Times New Roman"/>
          <w:sz w:val="22"/>
        </w:rPr>
      </w:pPr>
      <w:r w:rsidRPr="000C5CA4">
        <w:rPr>
          <w:rFonts w:eastAsia="Times New Roman"/>
          <w:sz w:val="22"/>
        </w:rPr>
        <w:t>Sa ciljem dodatnog unapređenja odgovor na nasilje u porodici, Ministarstvo unutrašnjih poslova Tuzlanskog kantona, kroz djelovanje Uprave policije, tokom 2023. godine realizovalo je niz aktivnosti koje doprinose ostvarivanju ciljeva definisanih Gender akcionim planom Tuzlanskog kantona. Aktivnosti su bile fokusirane na prevenciju nasilja, edukaciju policijskih službenika i jačanje međusektorske saradnje.</w:t>
      </w:r>
    </w:p>
    <w:p w14:paraId="16B5A0D7" w14:textId="77777777" w:rsidR="000F23AE" w:rsidRPr="000C5CA4" w:rsidRDefault="000F23AE" w:rsidP="00140CE9">
      <w:pPr>
        <w:spacing w:after="160" w:line="276" w:lineRule="auto"/>
        <w:rPr>
          <w:rFonts w:eastAsia="Times New Roman"/>
          <w:sz w:val="22"/>
        </w:rPr>
      </w:pPr>
      <w:r w:rsidRPr="000C5CA4">
        <w:rPr>
          <w:rFonts w:eastAsia="Times New Roman"/>
          <w:sz w:val="22"/>
        </w:rPr>
        <w:t>U okviru Programa prevencije, intervencije i resocijalizacije u oblasti maloljetničkog prestupništva, organizovano je 20 edukativnih predavanja i 5 preventivnih radionica u ukupno 19 osnovnih i srednjih škola na području kantona. Aktivnostima je prisustvovalo 1760 učenika, uz učešće nastavnog osoblja. Cilj je bio jačanje svijesti o društveno neprihvatljivim oblicima ponašanja i pružanje informacija o posljedicama nasilja.</w:t>
      </w:r>
    </w:p>
    <w:p w14:paraId="50E814A6" w14:textId="77777777" w:rsidR="000F23AE" w:rsidRPr="000C5CA4" w:rsidRDefault="000F23AE" w:rsidP="00140CE9">
      <w:pPr>
        <w:spacing w:after="160" w:line="276" w:lineRule="auto"/>
        <w:rPr>
          <w:rFonts w:eastAsia="Times New Roman"/>
          <w:sz w:val="22"/>
        </w:rPr>
      </w:pPr>
      <w:r w:rsidRPr="000C5CA4">
        <w:rPr>
          <w:rFonts w:eastAsia="Times New Roman"/>
          <w:sz w:val="22"/>
        </w:rPr>
        <w:lastRenderedPageBreak/>
        <w:t>Shodno planu obuke na temu krivičnih djela počinjenih iz mržnje, tokom godine je 160 policijskih službenika uspješno završilo edukaciju. Obuke su bile usmjerene na prepoznavanje i procesuiranje djela počinjenih iz mržnje, s posebnim osvrtom na zaštitu žrtava.</w:t>
      </w:r>
    </w:p>
    <w:p w14:paraId="726CF526" w14:textId="77777777" w:rsidR="000F23AE" w:rsidRPr="000C5CA4" w:rsidRDefault="000F23AE" w:rsidP="00140CE9">
      <w:pPr>
        <w:spacing w:line="276" w:lineRule="auto"/>
        <w:rPr>
          <w:rFonts w:eastAsia="Times New Roman"/>
          <w:sz w:val="22"/>
        </w:rPr>
      </w:pPr>
      <w:r w:rsidRPr="000C5CA4">
        <w:rPr>
          <w:rFonts w:eastAsia="Times New Roman"/>
          <w:sz w:val="22"/>
        </w:rPr>
        <w:t>Policijski službenici su aktivno učestvovali u velikom broju edukativnih aktivnosti koje su organizovale druge policijske agencije, državne institucije, međunarodne organizacije i nevladine organizacije. Među temama koje su bile obrađene ističu se:</w:t>
      </w:r>
    </w:p>
    <w:p w14:paraId="5905B2A2" w14:textId="77777777" w:rsidR="000F23AE" w:rsidRPr="000C5CA4" w:rsidRDefault="000F23AE" w:rsidP="00140CE9">
      <w:pPr>
        <w:widowControl/>
        <w:numPr>
          <w:ilvl w:val="0"/>
          <w:numId w:val="38"/>
        </w:numPr>
        <w:tabs>
          <w:tab w:val="clear" w:pos="5103"/>
        </w:tabs>
        <w:autoSpaceDE/>
        <w:autoSpaceDN/>
        <w:spacing w:line="276" w:lineRule="auto"/>
        <w:ind w:right="0"/>
        <w:rPr>
          <w:rFonts w:eastAsia="Times New Roman"/>
          <w:sz w:val="22"/>
        </w:rPr>
      </w:pPr>
      <w:r w:rsidRPr="000C5CA4">
        <w:rPr>
          <w:rFonts w:eastAsia="Times New Roman"/>
          <w:sz w:val="22"/>
        </w:rPr>
        <w:t>Krivično-pravni odgovor na tehnološki potpomognuto rodno zasnovano nasilje (TFGBV)</w:t>
      </w:r>
    </w:p>
    <w:p w14:paraId="4AA2C632" w14:textId="77777777" w:rsidR="000F23AE" w:rsidRPr="000C5CA4" w:rsidRDefault="000F23AE" w:rsidP="00140CE9">
      <w:pPr>
        <w:widowControl/>
        <w:numPr>
          <w:ilvl w:val="0"/>
          <w:numId w:val="38"/>
        </w:numPr>
        <w:tabs>
          <w:tab w:val="clear" w:pos="5103"/>
        </w:tabs>
        <w:autoSpaceDE/>
        <w:autoSpaceDN/>
        <w:spacing w:line="276" w:lineRule="auto"/>
        <w:ind w:right="0"/>
        <w:rPr>
          <w:rFonts w:eastAsia="Times New Roman"/>
          <w:sz w:val="22"/>
        </w:rPr>
      </w:pPr>
      <w:r w:rsidRPr="000C5CA4">
        <w:rPr>
          <w:rFonts w:eastAsia="Times New Roman"/>
          <w:sz w:val="22"/>
        </w:rPr>
        <w:t>Rodno osjetljiv pristup i pristup usmjeren na žrtvu</w:t>
      </w:r>
    </w:p>
    <w:p w14:paraId="619A41BB" w14:textId="77777777" w:rsidR="000F23AE" w:rsidRPr="000C5CA4" w:rsidRDefault="000F23AE" w:rsidP="00140CE9">
      <w:pPr>
        <w:widowControl/>
        <w:numPr>
          <w:ilvl w:val="0"/>
          <w:numId w:val="38"/>
        </w:numPr>
        <w:tabs>
          <w:tab w:val="clear" w:pos="5103"/>
        </w:tabs>
        <w:autoSpaceDE/>
        <w:autoSpaceDN/>
        <w:spacing w:line="276" w:lineRule="auto"/>
        <w:ind w:right="0"/>
        <w:rPr>
          <w:rFonts w:eastAsia="Times New Roman"/>
          <w:sz w:val="22"/>
        </w:rPr>
      </w:pPr>
      <w:r w:rsidRPr="000C5CA4">
        <w:rPr>
          <w:rFonts w:eastAsia="Times New Roman"/>
          <w:sz w:val="22"/>
        </w:rPr>
        <w:t>Saradnja policije i sudova u borbi protiv rodno uslovljenog nasilja</w:t>
      </w:r>
    </w:p>
    <w:p w14:paraId="75D88D67" w14:textId="77777777" w:rsidR="000F23AE" w:rsidRPr="000C5CA4" w:rsidRDefault="000F23AE" w:rsidP="00140CE9">
      <w:pPr>
        <w:widowControl/>
        <w:numPr>
          <w:ilvl w:val="0"/>
          <w:numId w:val="38"/>
        </w:numPr>
        <w:tabs>
          <w:tab w:val="clear" w:pos="5103"/>
        </w:tabs>
        <w:autoSpaceDE/>
        <w:autoSpaceDN/>
        <w:spacing w:line="276" w:lineRule="auto"/>
        <w:ind w:right="0"/>
        <w:rPr>
          <w:rFonts w:eastAsia="Times New Roman"/>
          <w:sz w:val="22"/>
        </w:rPr>
      </w:pPr>
      <w:r w:rsidRPr="000C5CA4">
        <w:rPr>
          <w:rFonts w:eastAsia="Times New Roman"/>
          <w:sz w:val="22"/>
        </w:rPr>
        <w:t>Prevencija nasilja nad ženama i djevojčicama</w:t>
      </w:r>
    </w:p>
    <w:p w14:paraId="0FB5ACE5" w14:textId="77777777" w:rsidR="000F23AE" w:rsidRPr="000C5CA4" w:rsidRDefault="000F23AE" w:rsidP="00140CE9">
      <w:pPr>
        <w:widowControl/>
        <w:numPr>
          <w:ilvl w:val="0"/>
          <w:numId w:val="38"/>
        </w:numPr>
        <w:tabs>
          <w:tab w:val="clear" w:pos="5103"/>
        </w:tabs>
        <w:autoSpaceDE/>
        <w:autoSpaceDN/>
        <w:spacing w:line="276" w:lineRule="auto"/>
        <w:ind w:right="0"/>
        <w:rPr>
          <w:rFonts w:eastAsia="Times New Roman"/>
          <w:sz w:val="22"/>
        </w:rPr>
      </w:pPr>
      <w:r w:rsidRPr="000C5CA4">
        <w:rPr>
          <w:rFonts w:eastAsia="Times New Roman"/>
          <w:sz w:val="22"/>
        </w:rPr>
        <w:t>Uloga univerziteta u promociji rodne ravnopravnosti</w:t>
      </w:r>
    </w:p>
    <w:p w14:paraId="47B68610" w14:textId="77777777" w:rsidR="000F23AE" w:rsidRPr="000C5CA4" w:rsidRDefault="000F23AE" w:rsidP="00140CE9">
      <w:pPr>
        <w:widowControl/>
        <w:numPr>
          <w:ilvl w:val="0"/>
          <w:numId w:val="38"/>
        </w:numPr>
        <w:tabs>
          <w:tab w:val="clear" w:pos="5103"/>
        </w:tabs>
        <w:autoSpaceDE/>
        <w:autoSpaceDN/>
        <w:spacing w:line="276" w:lineRule="auto"/>
        <w:ind w:right="0"/>
        <w:rPr>
          <w:rFonts w:eastAsia="Times New Roman"/>
          <w:sz w:val="22"/>
        </w:rPr>
      </w:pPr>
      <w:r w:rsidRPr="000C5CA4">
        <w:rPr>
          <w:rFonts w:eastAsia="Times New Roman"/>
          <w:sz w:val="22"/>
        </w:rPr>
        <w:t>Seksualno nasilje – uzroci, posljedice, pravni okvir i uloga institucija</w:t>
      </w:r>
    </w:p>
    <w:p w14:paraId="4041E87B" w14:textId="77777777" w:rsidR="000F23AE" w:rsidRPr="000C5CA4" w:rsidRDefault="000F23AE" w:rsidP="00140CE9">
      <w:pPr>
        <w:widowControl/>
        <w:numPr>
          <w:ilvl w:val="0"/>
          <w:numId w:val="38"/>
        </w:numPr>
        <w:tabs>
          <w:tab w:val="clear" w:pos="5103"/>
        </w:tabs>
        <w:autoSpaceDE/>
        <w:autoSpaceDN/>
        <w:spacing w:line="276" w:lineRule="auto"/>
        <w:ind w:right="0"/>
        <w:rPr>
          <w:rFonts w:eastAsia="Times New Roman"/>
          <w:sz w:val="22"/>
        </w:rPr>
      </w:pPr>
      <w:r w:rsidRPr="000C5CA4">
        <w:rPr>
          <w:rFonts w:eastAsia="Times New Roman"/>
          <w:sz w:val="22"/>
        </w:rPr>
        <w:t>Nasilje nad ženama sa invaliditetom</w:t>
      </w:r>
    </w:p>
    <w:p w14:paraId="3B809A44" w14:textId="77777777" w:rsidR="000F23AE" w:rsidRPr="000C5CA4" w:rsidRDefault="000F23AE" w:rsidP="00140CE9">
      <w:pPr>
        <w:widowControl/>
        <w:numPr>
          <w:ilvl w:val="0"/>
          <w:numId w:val="38"/>
        </w:numPr>
        <w:tabs>
          <w:tab w:val="clear" w:pos="5103"/>
        </w:tabs>
        <w:autoSpaceDE/>
        <w:autoSpaceDN/>
        <w:spacing w:line="276" w:lineRule="auto"/>
        <w:ind w:right="0"/>
        <w:rPr>
          <w:rFonts w:eastAsia="Times New Roman"/>
          <w:sz w:val="22"/>
        </w:rPr>
      </w:pPr>
      <w:r w:rsidRPr="000C5CA4">
        <w:rPr>
          <w:rFonts w:eastAsia="Times New Roman"/>
          <w:sz w:val="22"/>
        </w:rPr>
        <w:t>Maloljetničko prestupništvo i potreba za unapređenjem programa za period 2024–2028</w:t>
      </w:r>
    </w:p>
    <w:p w14:paraId="4FAAE58A" w14:textId="77777777" w:rsidR="000F23AE" w:rsidRPr="000C5CA4" w:rsidRDefault="000F23AE" w:rsidP="00140CE9">
      <w:pPr>
        <w:widowControl/>
        <w:numPr>
          <w:ilvl w:val="0"/>
          <w:numId w:val="38"/>
        </w:numPr>
        <w:tabs>
          <w:tab w:val="clear" w:pos="5103"/>
        </w:tabs>
        <w:autoSpaceDE/>
        <w:autoSpaceDN/>
        <w:spacing w:line="276" w:lineRule="auto"/>
        <w:ind w:right="0"/>
        <w:rPr>
          <w:rFonts w:eastAsia="Times New Roman"/>
          <w:sz w:val="22"/>
        </w:rPr>
      </w:pPr>
      <w:r w:rsidRPr="000C5CA4">
        <w:rPr>
          <w:rFonts w:eastAsia="Times New Roman"/>
          <w:sz w:val="22"/>
        </w:rPr>
        <w:t>Izrada i revidiranje akcionih planova za prevenciju i borbu protiv nasilja u porodici (2024–2026)</w:t>
      </w:r>
    </w:p>
    <w:p w14:paraId="6A34B9DE" w14:textId="77777777" w:rsidR="000F23AE" w:rsidRPr="000C5CA4" w:rsidRDefault="000F23AE" w:rsidP="00140CE9">
      <w:pPr>
        <w:widowControl/>
        <w:numPr>
          <w:ilvl w:val="0"/>
          <w:numId w:val="38"/>
        </w:numPr>
        <w:tabs>
          <w:tab w:val="clear" w:pos="5103"/>
        </w:tabs>
        <w:autoSpaceDE/>
        <w:autoSpaceDN/>
        <w:spacing w:line="276" w:lineRule="auto"/>
        <w:ind w:right="0"/>
        <w:rPr>
          <w:rFonts w:eastAsia="Times New Roman"/>
          <w:sz w:val="22"/>
        </w:rPr>
      </w:pPr>
      <w:r w:rsidRPr="000C5CA4">
        <w:rPr>
          <w:rFonts w:eastAsia="Times New Roman"/>
          <w:sz w:val="22"/>
        </w:rPr>
        <w:t>Strategija za unapređenje položaja starijih osoba u TK (2025–2030)</w:t>
      </w:r>
    </w:p>
    <w:p w14:paraId="03CB7895" w14:textId="77777777" w:rsidR="000F23AE" w:rsidRPr="000C5CA4" w:rsidRDefault="000F23AE" w:rsidP="00140CE9">
      <w:pPr>
        <w:spacing w:after="160" w:line="276" w:lineRule="auto"/>
        <w:rPr>
          <w:rFonts w:eastAsia="Times New Roman"/>
          <w:sz w:val="22"/>
        </w:rPr>
      </w:pPr>
    </w:p>
    <w:p w14:paraId="2FDD9411" w14:textId="77777777" w:rsidR="000F23AE" w:rsidRPr="000C5CA4" w:rsidRDefault="000F23AE" w:rsidP="00140CE9">
      <w:pPr>
        <w:spacing w:after="160" w:line="276" w:lineRule="auto"/>
        <w:rPr>
          <w:rFonts w:eastAsia="Times New Roman"/>
          <w:sz w:val="22"/>
        </w:rPr>
      </w:pPr>
      <w:r w:rsidRPr="000C5CA4">
        <w:rPr>
          <w:rFonts w:eastAsia="Times New Roman"/>
          <w:sz w:val="22"/>
        </w:rPr>
        <w:t>MUP TK je učestvovao u više stručnih radnih sastanaka, panel diskusija i okruglih stolova. Neki od ključnih događaja uključuju:</w:t>
      </w:r>
    </w:p>
    <w:p w14:paraId="628622E5" w14:textId="77777777" w:rsidR="000F23AE" w:rsidRPr="000C5CA4" w:rsidRDefault="000F23AE" w:rsidP="00140CE9">
      <w:pPr>
        <w:widowControl/>
        <w:numPr>
          <w:ilvl w:val="0"/>
          <w:numId w:val="39"/>
        </w:numPr>
        <w:tabs>
          <w:tab w:val="clear" w:pos="5103"/>
        </w:tabs>
        <w:autoSpaceDE/>
        <w:autoSpaceDN/>
        <w:spacing w:line="276" w:lineRule="auto"/>
        <w:ind w:right="0"/>
        <w:rPr>
          <w:rFonts w:eastAsia="Times New Roman"/>
          <w:sz w:val="22"/>
        </w:rPr>
      </w:pPr>
      <w:r w:rsidRPr="000C5CA4">
        <w:rPr>
          <w:rFonts w:eastAsia="Times New Roman"/>
          <w:sz w:val="22"/>
        </w:rPr>
        <w:t>Panel diskusija u okviru kampanje „Ne zatvarajmo oči – zaštitimo djecu na internetu“</w:t>
      </w:r>
    </w:p>
    <w:p w14:paraId="4EF59969" w14:textId="77777777" w:rsidR="000F23AE" w:rsidRPr="000C5CA4" w:rsidRDefault="000F23AE" w:rsidP="00140CE9">
      <w:pPr>
        <w:widowControl/>
        <w:numPr>
          <w:ilvl w:val="0"/>
          <w:numId w:val="39"/>
        </w:numPr>
        <w:tabs>
          <w:tab w:val="clear" w:pos="5103"/>
        </w:tabs>
        <w:autoSpaceDE/>
        <w:autoSpaceDN/>
        <w:spacing w:line="276" w:lineRule="auto"/>
        <w:ind w:right="0"/>
        <w:rPr>
          <w:rFonts w:eastAsia="Times New Roman"/>
          <w:sz w:val="22"/>
        </w:rPr>
      </w:pPr>
      <w:r w:rsidRPr="000C5CA4">
        <w:rPr>
          <w:rFonts w:eastAsia="Times New Roman"/>
          <w:sz w:val="22"/>
        </w:rPr>
        <w:t>Okrugli stolovi o intersektorskom pristupu u prevenciji nasilja</w:t>
      </w:r>
    </w:p>
    <w:p w14:paraId="3F0B3267" w14:textId="77777777" w:rsidR="000F23AE" w:rsidRPr="000C5CA4" w:rsidRDefault="000F23AE" w:rsidP="00140CE9">
      <w:pPr>
        <w:widowControl/>
        <w:numPr>
          <w:ilvl w:val="0"/>
          <w:numId w:val="39"/>
        </w:numPr>
        <w:tabs>
          <w:tab w:val="clear" w:pos="5103"/>
        </w:tabs>
        <w:autoSpaceDE/>
        <w:autoSpaceDN/>
        <w:spacing w:line="276" w:lineRule="auto"/>
        <w:ind w:right="0"/>
        <w:rPr>
          <w:rFonts w:eastAsia="Times New Roman"/>
          <w:sz w:val="22"/>
        </w:rPr>
      </w:pPr>
      <w:r w:rsidRPr="000C5CA4">
        <w:rPr>
          <w:rFonts w:eastAsia="Times New Roman"/>
          <w:sz w:val="22"/>
        </w:rPr>
        <w:t>Sastanci u vezi sa Sporazumom o saradnji u projektu jačanja institucionalne zaštite žrtava</w:t>
      </w:r>
    </w:p>
    <w:p w14:paraId="2B996A6B" w14:textId="77777777" w:rsidR="000F23AE" w:rsidRPr="000C5CA4" w:rsidRDefault="000F23AE" w:rsidP="00140CE9">
      <w:pPr>
        <w:widowControl/>
        <w:numPr>
          <w:ilvl w:val="0"/>
          <w:numId w:val="39"/>
        </w:numPr>
        <w:tabs>
          <w:tab w:val="clear" w:pos="5103"/>
        </w:tabs>
        <w:autoSpaceDE/>
        <w:autoSpaceDN/>
        <w:spacing w:line="276" w:lineRule="auto"/>
        <w:ind w:right="0"/>
        <w:rPr>
          <w:rFonts w:eastAsia="Times New Roman"/>
          <w:sz w:val="22"/>
        </w:rPr>
      </w:pPr>
      <w:r w:rsidRPr="000C5CA4">
        <w:rPr>
          <w:rFonts w:eastAsia="Times New Roman"/>
          <w:sz w:val="22"/>
        </w:rPr>
        <w:t>Razmatranje informacija o maloljetnicima za 2023. godinu</w:t>
      </w:r>
    </w:p>
    <w:p w14:paraId="37944BE9" w14:textId="77777777" w:rsidR="000F23AE" w:rsidRPr="000C5CA4" w:rsidRDefault="000F23AE" w:rsidP="00140CE9">
      <w:pPr>
        <w:widowControl/>
        <w:numPr>
          <w:ilvl w:val="0"/>
          <w:numId w:val="39"/>
        </w:numPr>
        <w:tabs>
          <w:tab w:val="clear" w:pos="5103"/>
        </w:tabs>
        <w:autoSpaceDE/>
        <w:autoSpaceDN/>
        <w:spacing w:line="276" w:lineRule="auto"/>
        <w:ind w:right="0"/>
        <w:rPr>
          <w:rFonts w:eastAsia="Times New Roman"/>
          <w:sz w:val="22"/>
        </w:rPr>
      </w:pPr>
      <w:r w:rsidRPr="000C5CA4">
        <w:rPr>
          <w:rFonts w:eastAsia="Times New Roman"/>
          <w:sz w:val="22"/>
        </w:rPr>
        <w:t>Učešće u radu Komisije za ravnopravnost spolova Skupštine TK</w:t>
      </w:r>
    </w:p>
    <w:p w14:paraId="4F30F698" w14:textId="77777777" w:rsidR="000F23AE" w:rsidRPr="000C5CA4" w:rsidRDefault="000F23AE" w:rsidP="00140CE9">
      <w:pPr>
        <w:spacing w:after="160" w:line="276" w:lineRule="auto"/>
        <w:rPr>
          <w:rFonts w:eastAsia="Times New Roman"/>
          <w:sz w:val="22"/>
        </w:rPr>
      </w:pPr>
    </w:p>
    <w:p w14:paraId="247113F7" w14:textId="77777777" w:rsidR="000F23AE" w:rsidRPr="000C5CA4" w:rsidRDefault="000F23AE" w:rsidP="00140CE9">
      <w:pPr>
        <w:spacing w:after="160" w:line="276" w:lineRule="auto"/>
        <w:rPr>
          <w:rFonts w:eastAsia="Times New Roman"/>
          <w:sz w:val="22"/>
        </w:rPr>
      </w:pPr>
      <w:r w:rsidRPr="000C5CA4">
        <w:rPr>
          <w:rFonts w:eastAsia="Times New Roman"/>
          <w:sz w:val="22"/>
        </w:rPr>
        <w:t>Organizovane su različite edukacije za policijske službenike na teme:</w:t>
      </w:r>
    </w:p>
    <w:p w14:paraId="2117B00B" w14:textId="77777777" w:rsidR="000F23AE" w:rsidRPr="000C5CA4" w:rsidRDefault="000F23AE" w:rsidP="00140CE9">
      <w:pPr>
        <w:widowControl/>
        <w:numPr>
          <w:ilvl w:val="0"/>
          <w:numId w:val="40"/>
        </w:numPr>
        <w:tabs>
          <w:tab w:val="clear" w:pos="5103"/>
        </w:tabs>
        <w:autoSpaceDE/>
        <w:autoSpaceDN/>
        <w:spacing w:line="276" w:lineRule="auto"/>
        <w:ind w:right="0"/>
        <w:rPr>
          <w:rFonts w:eastAsia="Times New Roman"/>
          <w:sz w:val="22"/>
        </w:rPr>
      </w:pPr>
      <w:r w:rsidRPr="000C5CA4">
        <w:rPr>
          <w:rFonts w:eastAsia="Times New Roman"/>
          <w:sz w:val="22"/>
        </w:rPr>
        <w:t>Rodno zasnovano nasilje i seksualno uznemiravanje</w:t>
      </w:r>
    </w:p>
    <w:p w14:paraId="24C94A26" w14:textId="77777777" w:rsidR="000F23AE" w:rsidRPr="000C5CA4" w:rsidRDefault="000F23AE" w:rsidP="00140CE9">
      <w:pPr>
        <w:widowControl/>
        <w:numPr>
          <w:ilvl w:val="0"/>
          <w:numId w:val="40"/>
        </w:numPr>
        <w:tabs>
          <w:tab w:val="clear" w:pos="5103"/>
        </w:tabs>
        <w:autoSpaceDE/>
        <w:autoSpaceDN/>
        <w:spacing w:line="276" w:lineRule="auto"/>
        <w:ind w:right="0"/>
        <w:rPr>
          <w:rFonts w:eastAsia="Times New Roman"/>
          <w:sz w:val="22"/>
        </w:rPr>
      </w:pPr>
      <w:r w:rsidRPr="000C5CA4">
        <w:rPr>
          <w:rFonts w:eastAsia="Times New Roman"/>
          <w:sz w:val="22"/>
        </w:rPr>
        <w:t>Procesuiranje krivičnih djela uznemiravanja</w:t>
      </w:r>
    </w:p>
    <w:p w14:paraId="592E5777" w14:textId="77777777" w:rsidR="000F23AE" w:rsidRPr="000C5CA4" w:rsidRDefault="000F23AE" w:rsidP="00140CE9">
      <w:pPr>
        <w:widowControl/>
        <w:numPr>
          <w:ilvl w:val="0"/>
          <w:numId w:val="40"/>
        </w:numPr>
        <w:tabs>
          <w:tab w:val="clear" w:pos="5103"/>
        </w:tabs>
        <w:autoSpaceDE/>
        <w:autoSpaceDN/>
        <w:spacing w:line="276" w:lineRule="auto"/>
        <w:ind w:right="0"/>
        <w:rPr>
          <w:rFonts w:eastAsia="Times New Roman"/>
          <w:sz w:val="22"/>
        </w:rPr>
      </w:pPr>
      <w:r w:rsidRPr="000C5CA4">
        <w:rPr>
          <w:rFonts w:eastAsia="Times New Roman"/>
          <w:sz w:val="22"/>
        </w:rPr>
        <w:t>Maloljetničko kazneno pravo – certifikacija za rad sa maloljetnicima</w:t>
      </w:r>
    </w:p>
    <w:p w14:paraId="61DE4AE4" w14:textId="77777777" w:rsidR="000F23AE" w:rsidRPr="000C5CA4" w:rsidRDefault="000F23AE" w:rsidP="00140CE9">
      <w:pPr>
        <w:widowControl/>
        <w:numPr>
          <w:ilvl w:val="0"/>
          <w:numId w:val="40"/>
        </w:numPr>
        <w:tabs>
          <w:tab w:val="clear" w:pos="5103"/>
        </w:tabs>
        <w:autoSpaceDE/>
        <w:autoSpaceDN/>
        <w:spacing w:line="276" w:lineRule="auto"/>
        <w:ind w:right="0"/>
        <w:rPr>
          <w:rFonts w:eastAsia="Times New Roman"/>
          <w:sz w:val="22"/>
        </w:rPr>
      </w:pPr>
      <w:r w:rsidRPr="000C5CA4">
        <w:rPr>
          <w:rFonts w:eastAsia="Times New Roman"/>
          <w:sz w:val="22"/>
        </w:rPr>
        <w:t>Trening trenera za članove Skupštine TK i Koordinacionog tijela za prevenciju i borbu protiv nasilja u porodici, koji su rezultirali usvajanjem Rezolucije o borbi protiv svih oblika nasilja nad ženama</w:t>
      </w:r>
    </w:p>
    <w:p w14:paraId="27EC04CA" w14:textId="77777777" w:rsidR="000F23AE" w:rsidRPr="000C5CA4" w:rsidRDefault="000F23AE" w:rsidP="00140CE9">
      <w:pPr>
        <w:spacing w:after="160" w:line="276" w:lineRule="auto"/>
        <w:rPr>
          <w:rFonts w:eastAsia="Times New Roman"/>
          <w:sz w:val="22"/>
        </w:rPr>
      </w:pPr>
    </w:p>
    <w:p w14:paraId="24808BCE" w14:textId="77777777" w:rsidR="000F23AE" w:rsidRPr="000C5CA4" w:rsidRDefault="000F23AE" w:rsidP="00140CE9">
      <w:pPr>
        <w:spacing w:after="160" w:line="276" w:lineRule="auto"/>
        <w:rPr>
          <w:rFonts w:eastAsia="Times New Roman"/>
          <w:sz w:val="22"/>
        </w:rPr>
      </w:pPr>
      <w:r w:rsidRPr="000C5CA4">
        <w:rPr>
          <w:rFonts w:eastAsia="Times New Roman"/>
          <w:sz w:val="22"/>
        </w:rPr>
        <w:t xml:space="preserve">Vlada Tuzlanskog kantona je odlukom broj: 02/1-31-13932/24 od 12.06.2024. godine i ove godine imenovala članove Koordinacionog tima za prevenciju i borbu protiv nasilja u porodici za područje Tuzlanskog kantona. Koordinacioni tim (KT) čine predstavnice: Ministarstva za rad, socijalnu politiku i povratak, Ministarstva unutrašnjih poslova, Ministarstva obrazovanja i nauke, Ministarstva za kulturu, sport i mlade, Ministarstva zdravstva, Ministarstva pravosuđa i uprave, Pedagoškog zavoda TK, Kantonalnog tužilaštva Tuzlanskog kantona, Foruma direktora centara za socijalni rad TK i Udruženja građana Vive Žene Tuzla. </w:t>
      </w:r>
    </w:p>
    <w:p w14:paraId="7280302E" w14:textId="00A2EB0C" w:rsidR="000F23AE" w:rsidRPr="000C5CA4" w:rsidRDefault="000F23AE" w:rsidP="000F23AE">
      <w:pPr>
        <w:spacing w:after="160" w:line="240" w:lineRule="auto"/>
        <w:rPr>
          <w:rFonts w:eastAsia="Times New Roman"/>
          <w:sz w:val="22"/>
        </w:rPr>
      </w:pPr>
      <w:r w:rsidRPr="000C5CA4">
        <w:rPr>
          <w:rFonts w:eastAsia="Times New Roman"/>
          <w:sz w:val="22"/>
        </w:rPr>
        <w:t xml:space="preserve">Vlada TK redovno razmatra i usvaja godišnje izvještaje o realizaciji Akcionog plana. Tako je Izvještaj o realizaciji Akcionog plana za prevenciju i borbu protiv nasilja u porodici za područje Tuzlanskog kantona za 2023. godinu Usvojila Vlada TK zaključkom broj: 09/1-31-292/24 od </w:t>
      </w:r>
      <w:r w:rsidRPr="000C5CA4">
        <w:rPr>
          <w:rFonts w:eastAsia="Times New Roman"/>
          <w:sz w:val="22"/>
        </w:rPr>
        <w:lastRenderedPageBreak/>
        <w:t>12.06.2024. godine. Radi se jedan izvještaj godišnje.</w:t>
      </w:r>
    </w:p>
    <w:p w14:paraId="051FDF97" w14:textId="32D14820" w:rsidR="002040D9" w:rsidRPr="000C5CA4" w:rsidRDefault="002040D9" w:rsidP="000F23AE">
      <w:pPr>
        <w:spacing w:after="160" w:line="240" w:lineRule="auto"/>
        <w:rPr>
          <w:rFonts w:eastAsia="Times New Roman"/>
          <w:sz w:val="22"/>
        </w:rPr>
      </w:pPr>
    </w:p>
    <w:p w14:paraId="242C799A" w14:textId="3072680E" w:rsidR="00546FFB" w:rsidRPr="000C5CA4" w:rsidRDefault="00ED28FE" w:rsidP="00672AC4">
      <w:pPr>
        <w:pStyle w:val="Heading3"/>
        <w:rPr>
          <w:sz w:val="22"/>
          <w:szCs w:val="20"/>
        </w:rPr>
      </w:pPr>
      <w:bookmarkStart w:id="39" w:name="_Toc73392277"/>
      <w:bookmarkStart w:id="40" w:name="_Toc74118441"/>
      <w:bookmarkStart w:id="41" w:name="_Toc79420465"/>
      <w:bookmarkStart w:id="42" w:name="_Toc200303208"/>
      <w:r w:rsidRPr="000C5CA4">
        <w:rPr>
          <w:sz w:val="22"/>
          <w:szCs w:val="20"/>
        </w:rPr>
        <w:t>Javni život</w:t>
      </w:r>
      <w:bookmarkEnd w:id="39"/>
      <w:bookmarkEnd w:id="40"/>
      <w:bookmarkEnd w:id="41"/>
      <w:bookmarkEnd w:id="42"/>
    </w:p>
    <w:p w14:paraId="300EBF59" w14:textId="77777777" w:rsidR="00F520C7" w:rsidRPr="000C5CA4" w:rsidRDefault="00F520C7" w:rsidP="00672AC4">
      <w:pPr>
        <w:pStyle w:val="Heading3"/>
        <w:rPr>
          <w:sz w:val="22"/>
          <w:szCs w:val="20"/>
        </w:rPr>
      </w:pPr>
    </w:p>
    <w:p w14:paraId="317F414F" w14:textId="261A6ED8" w:rsidR="00ED28FE" w:rsidRPr="000C5CA4" w:rsidRDefault="00ED28FE" w:rsidP="00672AC4">
      <w:pPr>
        <w:spacing w:line="276" w:lineRule="auto"/>
        <w:rPr>
          <w:sz w:val="22"/>
          <w:szCs w:val="20"/>
        </w:rPr>
      </w:pPr>
      <w:r w:rsidRPr="000C5CA4">
        <w:rPr>
          <w:sz w:val="22"/>
          <w:szCs w:val="20"/>
        </w:rPr>
        <w:t xml:space="preserve">Stanje ravnopravnosti spolova u oblasti javnog života se prvenstveno sagledava kroz ravnopravnu zastupljenost žena i muškaraca na pozicijama donošenja odluka. Prema podacima Međuparlamentarne unije (IPU), kojim je utvrđen procenat političke participacije žena u državnim parlamentima, BiH se nalazi na </w:t>
      </w:r>
      <w:r w:rsidR="00F520C7" w:rsidRPr="000C5CA4">
        <w:rPr>
          <w:sz w:val="22"/>
          <w:szCs w:val="20"/>
        </w:rPr>
        <w:t>128</w:t>
      </w:r>
      <w:r w:rsidRPr="000C5CA4">
        <w:rPr>
          <w:sz w:val="22"/>
          <w:szCs w:val="20"/>
        </w:rPr>
        <w:t xml:space="preserve"> mjestu </w:t>
      </w:r>
      <w:r w:rsidR="00F520C7" w:rsidRPr="000C5CA4">
        <w:rPr>
          <w:sz w:val="22"/>
          <w:szCs w:val="20"/>
        </w:rPr>
        <w:t xml:space="preserve">(podaci za april 2025. godine) </w:t>
      </w:r>
      <w:r w:rsidRPr="000C5CA4">
        <w:rPr>
          <w:sz w:val="22"/>
          <w:szCs w:val="20"/>
        </w:rPr>
        <w:t>od ukupno 18</w:t>
      </w:r>
      <w:r w:rsidR="00F520C7" w:rsidRPr="000C5CA4">
        <w:rPr>
          <w:sz w:val="22"/>
          <w:szCs w:val="20"/>
        </w:rPr>
        <w:t>7</w:t>
      </w:r>
      <w:r w:rsidRPr="000C5CA4">
        <w:rPr>
          <w:sz w:val="22"/>
          <w:szCs w:val="20"/>
        </w:rPr>
        <w:t xml:space="preserve"> država za koje se prikupljaju podaci u ovoj bazi. </w:t>
      </w:r>
    </w:p>
    <w:p w14:paraId="79F9308A" w14:textId="77777777" w:rsidR="00ED28FE" w:rsidRPr="000C5CA4" w:rsidRDefault="00ED28FE" w:rsidP="00672AC4">
      <w:pPr>
        <w:spacing w:line="276" w:lineRule="auto"/>
        <w:rPr>
          <w:sz w:val="22"/>
          <w:szCs w:val="20"/>
        </w:rPr>
      </w:pPr>
    </w:p>
    <w:p w14:paraId="67C80ADA" w14:textId="111C8D32" w:rsidR="00ED28FE" w:rsidRPr="000C5CA4" w:rsidRDefault="00ED28FE" w:rsidP="00672AC4">
      <w:pPr>
        <w:spacing w:line="276" w:lineRule="auto"/>
        <w:rPr>
          <w:sz w:val="22"/>
          <w:szCs w:val="20"/>
        </w:rPr>
      </w:pPr>
      <w:r w:rsidRPr="000C5CA4">
        <w:rPr>
          <w:sz w:val="22"/>
          <w:szCs w:val="20"/>
        </w:rPr>
        <w:t>Bosna i Hercegovina je 1998. godine uvela kvotu za manje zastupljeni spol kao mjeru za osiguravanje jednakog učešća žena i muškaraca u zakonodavnim tijelima na svim nivoima vlasti. Ova kvota je definirana članom 4.19 Izbornog zakona koji se odnosi se na minimalnu zastupljenost oba spola na listama kandidata od 40% sa utvrđenim rasporedom na listi za manje zastupljeni spol</w:t>
      </w:r>
      <w:r w:rsidR="00F520C7" w:rsidRPr="000C5CA4">
        <w:rPr>
          <w:sz w:val="22"/>
          <w:szCs w:val="20"/>
        </w:rPr>
        <w:t xml:space="preserve"> i </w:t>
      </w:r>
      <w:r w:rsidRPr="000C5CA4">
        <w:rPr>
          <w:sz w:val="22"/>
          <w:szCs w:val="20"/>
        </w:rPr>
        <w:t xml:space="preserve">dosljedno </w:t>
      </w:r>
      <w:r w:rsidR="00F520C7" w:rsidRPr="000C5CA4">
        <w:rPr>
          <w:sz w:val="22"/>
          <w:szCs w:val="20"/>
        </w:rPr>
        <w:t xml:space="preserve">se </w:t>
      </w:r>
      <w:r w:rsidRPr="000C5CA4">
        <w:rPr>
          <w:sz w:val="22"/>
          <w:szCs w:val="20"/>
        </w:rPr>
        <w:t>provodi</w:t>
      </w:r>
      <w:r w:rsidR="00F520C7" w:rsidRPr="000C5CA4">
        <w:rPr>
          <w:sz w:val="22"/>
          <w:szCs w:val="20"/>
        </w:rPr>
        <w:t>,</w:t>
      </w:r>
      <w:r w:rsidRPr="000C5CA4">
        <w:rPr>
          <w:sz w:val="22"/>
          <w:szCs w:val="20"/>
        </w:rPr>
        <w:t xml:space="preserve"> međutim brojna istraživanja pokazuju da biračko tijelo svojim glasovima prednost daje osobama muškog spola. </w:t>
      </w:r>
    </w:p>
    <w:p w14:paraId="00553C9E" w14:textId="77777777" w:rsidR="00ED28FE" w:rsidRPr="000C5CA4" w:rsidRDefault="00ED28FE" w:rsidP="00672AC4">
      <w:pPr>
        <w:spacing w:line="276" w:lineRule="auto"/>
        <w:rPr>
          <w:sz w:val="22"/>
          <w:szCs w:val="20"/>
        </w:rPr>
      </w:pPr>
    </w:p>
    <w:p w14:paraId="2DB5C6E7" w14:textId="77777777" w:rsidR="00442B01" w:rsidRPr="000C5CA4" w:rsidRDefault="00442B01" w:rsidP="00442B01">
      <w:pPr>
        <w:spacing w:line="276" w:lineRule="auto"/>
        <w:rPr>
          <w:rFonts w:eastAsia="Times New Roman"/>
          <w:sz w:val="22"/>
          <w:szCs w:val="20"/>
        </w:rPr>
      </w:pPr>
      <w:r w:rsidRPr="000C5CA4">
        <w:rPr>
          <w:rFonts w:eastAsia="Times New Roman"/>
          <w:sz w:val="22"/>
          <w:szCs w:val="20"/>
        </w:rPr>
        <w:t>Bosna i Hercegovina je ostvarila značajan napredak na usklađivanju svog zakonodavnog okvira sa međunarodnim standardima i obavezama. Zakon o ravnopravnosti spolova Bosne i Hercegovine je usvojen 2003. godine, a izmjene i dopune su usvojene 2009. godine, pri čemu su poboljšane definicije i provedbene odredbe. Prečišćena verzija je objavljena 2010. godine. Zakon o ravnopravnosti spolova posebno obrađuje jednaku zastupljenost i javni život; definira da postoji jednaka zastupljenost muškaraca i žena ukoliko je jedan od spolova zastupljen sa najmanje 40% u tijelima javnog sektora na svim nivoima vlasti u Bosni i Hercegovini (državnom, entitetskom, kantonalnom i općinskom).</w:t>
      </w:r>
    </w:p>
    <w:p w14:paraId="319C51C1" w14:textId="77777777" w:rsidR="00442B01" w:rsidRPr="000C5CA4" w:rsidRDefault="00442B01" w:rsidP="00442B01">
      <w:pPr>
        <w:spacing w:line="276" w:lineRule="auto"/>
        <w:rPr>
          <w:rFonts w:eastAsia="Times New Roman"/>
          <w:sz w:val="22"/>
          <w:szCs w:val="20"/>
        </w:rPr>
      </w:pPr>
      <w:r w:rsidRPr="000C5CA4">
        <w:rPr>
          <w:rFonts w:eastAsia="Times New Roman"/>
          <w:sz w:val="22"/>
          <w:szCs w:val="20"/>
        </w:rPr>
        <w:t xml:space="preserve">U skupštini TK trenutno je izabrano 35 poslanika, te je u aktuelnom sazivu izabrano 13 osoba ženskog spola odnosno 37% i 22 osobe muškog spola ili 63%. Ovaj prosjek veći od učešća žena na drugim nivoima vlasti i iznad je prosjeka za kantonalne skupštine. </w:t>
      </w:r>
    </w:p>
    <w:p w14:paraId="54F917AD" w14:textId="77777777" w:rsidR="00442B01" w:rsidRPr="000C5CA4" w:rsidRDefault="00442B01" w:rsidP="00442B01">
      <w:pPr>
        <w:spacing w:line="276" w:lineRule="auto"/>
        <w:rPr>
          <w:rFonts w:eastAsia="Times New Roman"/>
          <w:sz w:val="22"/>
          <w:szCs w:val="20"/>
        </w:rPr>
      </w:pPr>
      <w:r w:rsidRPr="000C5CA4">
        <w:rPr>
          <w:noProof/>
          <w:sz w:val="22"/>
          <w:szCs w:val="20"/>
          <w:lang w:eastAsia="bs-Latn-BA"/>
        </w:rPr>
        <w:drawing>
          <wp:inline distT="0" distB="0" distL="0" distR="0" wp14:anchorId="3141CA7C" wp14:editId="28A671D2">
            <wp:extent cx="5731510" cy="2794635"/>
            <wp:effectExtent l="0" t="0" r="2540" b="5715"/>
            <wp:docPr id="1543233337" name="Chart 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03193C3-834C-40FC-BF60-AA5155DF4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4092241" w14:textId="2178D495" w:rsidR="00442B01" w:rsidRPr="000C5CA4" w:rsidRDefault="00442B01" w:rsidP="00442B01">
      <w:pPr>
        <w:spacing w:line="276" w:lineRule="auto"/>
        <w:rPr>
          <w:rFonts w:eastAsia="Times New Roman"/>
          <w:sz w:val="22"/>
          <w:szCs w:val="20"/>
        </w:rPr>
      </w:pPr>
    </w:p>
    <w:p w14:paraId="6C1D0B27" w14:textId="4F011EB3" w:rsidR="00442B01" w:rsidRPr="000C5CA4" w:rsidRDefault="00442B01" w:rsidP="00442B01">
      <w:pPr>
        <w:spacing w:line="276" w:lineRule="auto"/>
        <w:rPr>
          <w:rFonts w:eastAsia="Times New Roman"/>
          <w:sz w:val="22"/>
          <w:szCs w:val="20"/>
        </w:rPr>
      </w:pPr>
      <w:r w:rsidRPr="000C5CA4">
        <w:rPr>
          <w:rFonts w:eastAsia="Times New Roman"/>
          <w:sz w:val="22"/>
          <w:szCs w:val="20"/>
        </w:rPr>
        <w:t xml:space="preserve">Predsjednik Skupštine je osoba muškog spola i ima dva zamjenika i to jedan zamjenik je muškog spola dok je druga ženskog spola. Osobe ženskog spola su predsjednici u 5 radnih tijela Skupštine Tuzlanskog kantona, a osobe muškog spola su predsjednici u 10 radnih tijela Skupštine </w:t>
      </w:r>
      <w:r w:rsidRPr="000C5CA4">
        <w:rPr>
          <w:rFonts w:eastAsia="Times New Roman"/>
          <w:sz w:val="22"/>
          <w:szCs w:val="20"/>
        </w:rPr>
        <w:lastRenderedPageBreak/>
        <w:t>Tuzlanskog kantona.</w:t>
      </w:r>
    </w:p>
    <w:p w14:paraId="7903A0BA" w14:textId="77777777" w:rsidR="00442B01" w:rsidRPr="000C5CA4" w:rsidRDefault="00442B01" w:rsidP="00442B01">
      <w:pPr>
        <w:spacing w:line="276" w:lineRule="auto"/>
        <w:rPr>
          <w:rFonts w:eastAsia="Times New Roman"/>
          <w:sz w:val="22"/>
          <w:szCs w:val="20"/>
        </w:rPr>
      </w:pPr>
    </w:p>
    <w:tbl>
      <w:tblPr>
        <w:tblStyle w:val="TableGrid"/>
        <w:tblW w:w="0" w:type="auto"/>
        <w:jc w:val="center"/>
        <w:tblLook w:val="04A0" w:firstRow="1" w:lastRow="0" w:firstColumn="1" w:lastColumn="0" w:noHBand="0" w:noVBand="1"/>
      </w:tblPr>
      <w:tblGrid>
        <w:gridCol w:w="4354"/>
        <w:gridCol w:w="648"/>
        <w:gridCol w:w="1071"/>
        <w:gridCol w:w="648"/>
        <w:gridCol w:w="909"/>
        <w:gridCol w:w="1390"/>
      </w:tblGrid>
      <w:tr w:rsidR="00442B01" w:rsidRPr="000C5CA4" w14:paraId="5A8D6385" w14:textId="77777777" w:rsidTr="004566C5">
        <w:trPr>
          <w:jc w:val="center"/>
        </w:trPr>
        <w:tc>
          <w:tcPr>
            <w:tcW w:w="0" w:type="auto"/>
            <w:gridSpan w:val="6"/>
            <w:shd w:val="clear" w:color="auto" w:fill="B4C6E7" w:themeFill="accent5" w:themeFillTint="66"/>
            <w:vAlign w:val="center"/>
          </w:tcPr>
          <w:p w14:paraId="772B7DFE" w14:textId="5B181434" w:rsidR="00442B01" w:rsidRPr="000C5CA4" w:rsidRDefault="00442B01" w:rsidP="00CE5F0A">
            <w:pPr>
              <w:spacing w:line="240" w:lineRule="auto"/>
              <w:ind w:right="6"/>
              <w:jc w:val="center"/>
              <w:rPr>
                <w:rFonts w:eastAsia="Times New Roman"/>
                <w:b/>
                <w:bCs/>
                <w:sz w:val="20"/>
                <w:szCs w:val="20"/>
              </w:rPr>
            </w:pPr>
            <w:r w:rsidRPr="000C5CA4">
              <w:rPr>
                <w:rFonts w:eastAsia="Times New Roman"/>
                <w:b/>
                <w:sz w:val="22"/>
                <w:szCs w:val="20"/>
              </w:rPr>
              <w:t xml:space="preserve">Pregled zastupljenosti osoba muškog i ženskog spola u Skupštini Tuzlanskog kantona i u radnim tijelima </w:t>
            </w:r>
          </w:p>
        </w:tc>
      </w:tr>
      <w:tr w:rsidR="00442B01" w:rsidRPr="000C5CA4" w14:paraId="33DEE136" w14:textId="77777777" w:rsidTr="004566C5">
        <w:trPr>
          <w:jc w:val="center"/>
        </w:trPr>
        <w:tc>
          <w:tcPr>
            <w:tcW w:w="0" w:type="auto"/>
            <w:shd w:val="clear" w:color="auto" w:fill="B4C6E7" w:themeFill="accent5" w:themeFillTint="66"/>
            <w:vAlign w:val="center"/>
          </w:tcPr>
          <w:p w14:paraId="6FD47171" w14:textId="3D06055E" w:rsidR="00442B01" w:rsidRPr="000C5CA4" w:rsidRDefault="00442B01" w:rsidP="00442B01">
            <w:pPr>
              <w:spacing w:line="276" w:lineRule="auto"/>
              <w:jc w:val="left"/>
              <w:rPr>
                <w:rFonts w:eastAsia="Times New Roman"/>
                <w:sz w:val="22"/>
                <w:szCs w:val="20"/>
              </w:rPr>
            </w:pPr>
            <w:r w:rsidRPr="000C5CA4">
              <w:rPr>
                <w:rFonts w:eastAsia="Times New Roman"/>
                <w:b/>
                <w:bCs/>
                <w:sz w:val="20"/>
                <w:szCs w:val="20"/>
              </w:rPr>
              <w:t>Naziv tijela</w:t>
            </w:r>
          </w:p>
        </w:tc>
        <w:tc>
          <w:tcPr>
            <w:tcW w:w="0" w:type="auto"/>
            <w:shd w:val="clear" w:color="auto" w:fill="B4C6E7" w:themeFill="accent5" w:themeFillTint="66"/>
            <w:vAlign w:val="center"/>
          </w:tcPr>
          <w:p w14:paraId="4410F2D0" w14:textId="2B08BD51" w:rsidR="00442B01" w:rsidRPr="000C5CA4" w:rsidRDefault="00442B01" w:rsidP="00442B01">
            <w:pPr>
              <w:spacing w:line="276" w:lineRule="auto"/>
              <w:jc w:val="center"/>
              <w:rPr>
                <w:rFonts w:eastAsia="Times New Roman"/>
                <w:sz w:val="22"/>
                <w:szCs w:val="20"/>
              </w:rPr>
            </w:pPr>
            <w:r w:rsidRPr="000C5CA4">
              <w:rPr>
                <w:rFonts w:eastAsia="Times New Roman"/>
                <w:b/>
                <w:bCs/>
                <w:sz w:val="20"/>
                <w:szCs w:val="20"/>
              </w:rPr>
              <w:t>M</w:t>
            </w:r>
          </w:p>
        </w:tc>
        <w:tc>
          <w:tcPr>
            <w:tcW w:w="0" w:type="auto"/>
            <w:shd w:val="clear" w:color="auto" w:fill="B4C6E7" w:themeFill="accent5" w:themeFillTint="66"/>
          </w:tcPr>
          <w:p w14:paraId="7EBCD7A7" w14:textId="2B491A3D" w:rsidR="00442B01" w:rsidRPr="000C5CA4" w:rsidRDefault="00442B01" w:rsidP="00442B01">
            <w:pPr>
              <w:spacing w:line="276" w:lineRule="auto"/>
              <w:jc w:val="center"/>
              <w:rPr>
                <w:rFonts w:eastAsia="Times New Roman"/>
                <w:b/>
                <w:bCs/>
                <w:sz w:val="20"/>
                <w:szCs w:val="20"/>
              </w:rPr>
            </w:pPr>
            <w:r w:rsidRPr="000C5CA4">
              <w:rPr>
                <w:rFonts w:eastAsia="Times New Roman"/>
                <w:b/>
                <w:bCs/>
                <w:sz w:val="20"/>
                <w:szCs w:val="20"/>
              </w:rPr>
              <w:t>M%</w:t>
            </w:r>
          </w:p>
        </w:tc>
        <w:tc>
          <w:tcPr>
            <w:tcW w:w="0" w:type="auto"/>
            <w:shd w:val="clear" w:color="auto" w:fill="B4C6E7" w:themeFill="accent5" w:themeFillTint="66"/>
            <w:vAlign w:val="center"/>
          </w:tcPr>
          <w:p w14:paraId="593FEBA7" w14:textId="6C547296" w:rsidR="00442B01" w:rsidRPr="000C5CA4" w:rsidRDefault="00442B01" w:rsidP="00442B01">
            <w:pPr>
              <w:spacing w:line="276" w:lineRule="auto"/>
              <w:jc w:val="center"/>
              <w:rPr>
                <w:rFonts w:eastAsia="Times New Roman"/>
                <w:sz w:val="22"/>
                <w:szCs w:val="20"/>
              </w:rPr>
            </w:pPr>
            <w:r w:rsidRPr="000C5CA4">
              <w:rPr>
                <w:rFonts w:eastAsia="Times New Roman"/>
                <w:b/>
                <w:bCs/>
                <w:sz w:val="20"/>
                <w:szCs w:val="20"/>
              </w:rPr>
              <w:t>Ž</w:t>
            </w:r>
          </w:p>
        </w:tc>
        <w:tc>
          <w:tcPr>
            <w:tcW w:w="0" w:type="auto"/>
            <w:shd w:val="clear" w:color="auto" w:fill="B4C6E7" w:themeFill="accent5" w:themeFillTint="66"/>
          </w:tcPr>
          <w:p w14:paraId="20868861" w14:textId="2C69A88C" w:rsidR="00442B01" w:rsidRPr="000C5CA4" w:rsidRDefault="00442B01" w:rsidP="00442B01">
            <w:pPr>
              <w:spacing w:line="276" w:lineRule="auto"/>
              <w:jc w:val="center"/>
              <w:rPr>
                <w:rFonts w:eastAsia="Times New Roman"/>
                <w:b/>
                <w:bCs/>
                <w:sz w:val="20"/>
                <w:szCs w:val="20"/>
              </w:rPr>
            </w:pPr>
            <w:r w:rsidRPr="000C5CA4">
              <w:rPr>
                <w:rFonts w:eastAsia="Times New Roman"/>
                <w:b/>
                <w:bCs/>
                <w:sz w:val="20"/>
                <w:szCs w:val="20"/>
              </w:rPr>
              <w:t>Ž%</w:t>
            </w:r>
          </w:p>
        </w:tc>
        <w:tc>
          <w:tcPr>
            <w:tcW w:w="0" w:type="auto"/>
            <w:shd w:val="clear" w:color="auto" w:fill="B4C6E7" w:themeFill="accent5" w:themeFillTint="66"/>
            <w:vAlign w:val="center"/>
          </w:tcPr>
          <w:p w14:paraId="04405A8F" w14:textId="47303C4F" w:rsidR="00442B01" w:rsidRPr="000C5CA4" w:rsidRDefault="00442B01" w:rsidP="00442B01">
            <w:pPr>
              <w:spacing w:line="276" w:lineRule="auto"/>
              <w:jc w:val="center"/>
              <w:rPr>
                <w:rFonts w:eastAsia="Times New Roman"/>
                <w:sz w:val="22"/>
                <w:szCs w:val="20"/>
              </w:rPr>
            </w:pPr>
            <w:r w:rsidRPr="000C5CA4">
              <w:rPr>
                <w:rFonts w:eastAsia="Times New Roman"/>
                <w:b/>
                <w:bCs/>
                <w:sz w:val="20"/>
                <w:szCs w:val="20"/>
              </w:rPr>
              <w:t>Ukupno</w:t>
            </w:r>
          </w:p>
        </w:tc>
      </w:tr>
      <w:tr w:rsidR="00442B01" w:rsidRPr="000C5CA4" w14:paraId="707FD3B2" w14:textId="77777777" w:rsidTr="008A4F8F">
        <w:trPr>
          <w:jc w:val="center"/>
        </w:trPr>
        <w:tc>
          <w:tcPr>
            <w:tcW w:w="0" w:type="auto"/>
            <w:shd w:val="clear" w:color="auto" w:fill="B4C6E7" w:themeFill="accent5" w:themeFillTint="66"/>
            <w:vAlign w:val="center"/>
          </w:tcPr>
          <w:p w14:paraId="0872B67A" w14:textId="2DB30F4F" w:rsidR="00442B01" w:rsidRPr="000C5CA4" w:rsidRDefault="00442B01" w:rsidP="008A4F8F">
            <w:pPr>
              <w:spacing w:line="276" w:lineRule="auto"/>
              <w:jc w:val="left"/>
              <w:rPr>
                <w:rFonts w:eastAsia="Times New Roman"/>
                <w:sz w:val="22"/>
                <w:szCs w:val="20"/>
              </w:rPr>
            </w:pPr>
            <w:r w:rsidRPr="000C5CA4">
              <w:rPr>
                <w:rFonts w:eastAsia="Times New Roman"/>
                <w:sz w:val="20"/>
                <w:szCs w:val="20"/>
              </w:rPr>
              <w:t xml:space="preserve">Skupština </w:t>
            </w:r>
            <w:r w:rsidR="008A4F8F" w:rsidRPr="000C5CA4">
              <w:rPr>
                <w:rFonts w:eastAsia="Times New Roman"/>
                <w:sz w:val="20"/>
                <w:szCs w:val="20"/>
              </w:rPr>
              <w:t>TK</w:t>
            </w:r>
          </w:p>
        </w:tc>
        <w:tc>
          <w:tcPr>
            <w:tcW w:w="0" w:type="auto"/>
            <w:shd w:val="clear" w:color="auto" w:fill="FFE599" w:themeFill="accent4" w:themeFillTint="66"/>
            <w:vAlign w:val="center"/>
          </w:tcPr>
          <w:p w14:paraId="33CF2257" w14:textId="74101EBC"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22</w:t>
            </w:r>
          </w:p>
        </w:tc>
        <w:tc>
          <w:tcPr>
            <w:tcW w:w="0" w:type="auto"/>
            <w:shd w:val="clear" w:color="auto" w:fill="D9E2F3" w:themeFill="accent5" w:themeFillTint="33"/>
            <w:vAlign w:val="center"/>
          </w:tcPr>
          <w:p w14:paraId="73F06D99" w14:textId="669ED65C" w:rsidR="00442B01" w:rsidRPr="000C5CA4" w:rsidRDefault="00442B01" w:rsidP="00442B01">
            <w:pPr>
              <w:spacing w:line="276" w:lineRule="auto"/>
              <w:jc w:val="center"/>
              <w:rPr>
                <w:rFonts w:eastAsia="Times New Roman"/>
                <w:bCs/>
                <w:sz w:val="20"/>
                <w:szCs w:val="20"/>
              </w:rPr>
            </w:pPr>
            <w:r w:rsidRPr="000C5CA4">
              <w:rPr>
                <w:rFonts w:cs="Calibri"/>
                <w:color w:val="000000"/>
                <w:sz w:val="20"/>
                <w:szCs w:val="20"/>
              </w:rPr>
              <w:t>63%</w:t>
            </w:r>
          </w:p>
        </w:tc>
        <w:tc>
          <w:tcPr>
            <w:tcW w:w="0" w:type="auto"/>
            <w:shd w:val="clear" w:color="auto" w:fill="FFE599" w:themeFill="accent4" w:themeFillTint="66"/>
            <w:vAlign w:val="center"/>
          </w:tcPr>
          <w:p w14:paraId="2C652A0A" w14:textId="2DAA28EA"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13</w:t>
            </w:r>
          </w:p>
        </w:tc>
        <w:tc>
          <w:tcPr>
            <w:tcW w:w="0" w:type="auto"/>
            <w:shd w:val="clear" w:color="auto" w:fill="D9E2F3" w:themeFill="accent5" w:themeFillTint="33"/>
            <w:vAlign w:val="center"/>
          </w:tcPr>
          <w:p w14:paraId="55C991F3" w14:textId="1D04105D" w:rsidR="00442B01" w:rsidRPr="000C5CA4" w:rsidRDefault="00442B01" w:rsidP="00442B01">
            <w:pPr>
              <w:spacing w:line="276" w:lineRule="auto"/>
              <w:jc w:val="center"/>
              <w:rPr>
                <w:rFonts w:eastAsia="Times New Roman"/>
                <w:bCs/>
                <w:sz w:val="20"/>
                <w:szCs w:val="20"/>
              </w:rPr>
            </w:pPr>
            <w:r w:rsidRPr="000C5CA4">
              <w:rPr>
                <w:rFonts w:cs="Calibri"/>
                <w:color w:val="000000"/>
                <w:sz w:val="20"/>
                <w:szCs w:val="20"/>
              </w:rPr>
              <w:t>37%</w:t>
            </w:r>
          </w:p>
        </w:tc>
        <w:tc>
          <w:tcPr>
            <w:tcW w:w="0" w:type="auto"/>
            <w:shd w:val="clear" w:color="auto" w:fill="FFE599" w:themeFill="accent4" w:themeFillTint="66"/>
            <w:vAlign w:val="center"/>
          </w:tcPr>
          <w:p w14:paraId="400A9195" w14:textId="642AB75F"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35</w:t>
            </w:r>
          </w:p>
        </w:tc>
      </w:tr>
      <w:tr w:rsidR="00442B01" w:rsidRPr="000C5CA4" w14:paraId="37EE0CA3" w14:textId="77777777" w:rsidTr="008A4F8F">
        <w:trPr>
          <w:jc w:val="center"/>
        </w:trPr>
        <w:tc>
          <w:tcPr>
            <w:tcW w:w="0" w:type="auto"/>
            <w:shd w:val="clear" w:color="auto" w:fill="B4C6E7" w:themeFill="accent5" w:themeFillTint="66"/>
            <w:vAlign w:val="center"/>
          </w:tcPr>
          <w:p w14:paraId="72E95A4F" w14:textId="1B3F73C2" w:rsidR="00442B01" w:rsidRPr="000C5CA4" w:rsidRDefault="00442B01" w:rsidP="008A4F8F">
            <w:pPr>
              <w:spacing w:line="276" w:lineRule="auto"/>
              <w:jc w:val="left"/>
              <w:rPr>
                <w:rFonts w:eastAsia="Times New Roman"/>
                <w:sz w:val="22"/>
                <w:szCs w:val="20"/>
              </w:rPr>
            </w:pPr>
            <w:r w:rsidRPr="000C5CA4">
              <w:rPr>
                <w:rFonts w:eastAsia="Times New Roman"/>
                <w:sz w:val="20"/>
                <w:szCs w:val="20"/>
              </w:rPr>
              <w:t xml:space="preserve">Predsjednik skupštine </w:t>
            </w:r>
            <w:r w:rsidR="008A4F8F" w:rsidRPr="000C5CA4">
              <w:rPr>
                <w:rFonts w:eastAsia="Times New Roman"/>
                <w:sz w:val="20"/>
                <w:szCs w:val="20"/>
              </w:rPr>
              <w:t>TK</w:t>
            </w:r>
          </w:p>
        </w:tc>
        <w:tc>
          <w:tcPr>
            <w:tcW w:w="0" w:type="auto"/>
            <w:shd w:val="clear" w:color="auto" w:fill="FFE599" w:themeFill="accent4" w:themeFillTint="66"/>
            <w:vAlign w:val="center"/>
          </w:tcPr>
          <w:p w14:paraId="7D3A7245" w14:textId="45673C77"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1</w:t>
            </w:r>
          </w:p>
        </w:tc>
        <w:tc>
          <w:tcPr>
            <w:tcW w:w="0" w:type="auto"/>
            <w:shd w:val="clear" w:color="auto" w:fill="D9E2F3" w:themeFill="accent5" w:themeFillTint="33"/>
            <w:vAlign w:val="center"/>
          </w:tcPr>
          <w:p w14:paraId="280EF9E8" w14:textId="76927963" w:rsidR="00442B01" w:rsidRPr="000C5CA4" w:rsidRDefault="00442B01" w:rsidP="00442B01">
            <w:pPr>
              <w:spacing w:line="276" w:lineRule="auto"/>
              <w:jc w:val="center"/>
              <w:rPr>
                <w:rFonts w:eastAsia="Times New Roman"/>
                <w:bCs/>
                <w:sz w:val="20"/>
                <w:szCs w:val="20"/>
              </w:rPr>
            </w:pPr>
            <w:r w:rsidRPr="000C5CA4">
              <w:rPr>
                <w:rFonts w:cs="Calibri"/>
                <w:color w:val="000000"/>
                <w:sz w:val="20"/>
                <w:szCs w:val="20"/>
              </w:rPr>
              <w:t>100%</w:t>
            </w:r>
          </w:p>
        </w:tc>
        <w:tc>
          <w:tcPr>
            <w:tcW w:w="0" w:type="auto"/>
            <w:shd w:val="clear" w:color="auto" w:fill="FFE599" w:themeFill="accent4" w:themeFillTint="66"/>
            <w:vAlign w:val="center"/>
          </w:tcPr>
          <w:p w14:paraId="463EBEB9" w14:textId="69A9898E"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0</w:t>
            </w:r>
          </w:p>
        </w:tc>
        <w:tc>
          <w:tcPr>
            <w:tcW w:w="0" w:type="auto"/>
            <w:shd w:val="clear" w:color="auto" w:fill="D9E2F3" w:themeFill="accent5" w:themeFillTint="33"/>
            <w:vAlign w:val="center"/>
          </w:tcPr>
          <w:p w14:paraId="27C06DAA" w14:textId="3FF48BFD" w:rsidR="00442B01" w:rsidRPr="000C5CA4" w:rsidRDefault="00442B01" w:rsidP="00442B01">
            <w:pPr>
              <w:spacing w:line="276" w:lineRule="auto"/>
              <w:jc w:val="center"/>
              <w:rPr>
                <w:rFonts w:eastAsia="Times New Roman"/>
                <w:bCs/>
                <w:sz w:val="20"/>
                <w:szCs w:val="20"/>
              </w:rPr>
            </w:pPr>
            <w:r w:rsidRPr="000C5CA4">
              <w:rPr>
                <w:rFonts w:cs="Calibri"/>
                <w:color w:val="000000"/>
                <w:sz w:val="20"/>
                <w:szCs w:val="20"/>
              </w:rPr>
              <w:t>0%</w:t>
            </w:r>
          </w:p>
        </w:tc>
        <w:tc>
          <w:tcPr>
            <w:tcW w:w="0" w:type="auto"/>
            <w:shd w:val="clear" w:color="auto" w:fill="FFE599" w:themeFill="accent4" w:themeFillTint="66"/>
            <w:vAlign w:val="center"/>
          </w:tcPr>
          <w:p w14:paraId="70278A35" w14:textId="30F0FA55"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1</w:t>
            </w:r>
          </w:p>
        </w:tc>
      </w:tr>
      <w:tr w:rsidR="00442B01" w:rsidRPr="000C5CA4" w14:paraId="2D3A1BD6" w14:textId="77777777" w:rsidTr="008A4F8F">
        <w:trPr>
          <w:jc w:val="center"/>
        </w:trPr>
        <w:tc>
          <w:tcPr>
            <w:tcW w:w="0" w:type="auto"/>
            <w:shd w:val="clear" w:color="auto" w:fill="B4C6E7" w:themeFill="accent5" w:themeFillTint="66"/>
            <w:vAlign w:val="center"/>
          </w:tcPr>
          <w:p w14:paraId="4267ACF2" w14:textId="60342613" w:rsidR="00442B01" w:rsidRPr="000C5CA4" w:rsidRDefault="00442B01" w:rsidP="008A4F8F">
            <w:pPr>
              <w:spacing w:line="276" w:lineRule="auto"/>
              <w:jc w:val="left"/>
              <w:rPr>
                <w:rFonts w:eastAsia="Times New Roman"/>
                <w:sz w:val="22"/>
                <w:szCs w:val="20"/>
              </w:rPr>
            </w:pPr>
            <w:r w:rsidRPr="000C5CA4">
              <w:rPr>
                <w:rFonts w:eastAsia="Times New Roman"/>
                <w:sz w:val="20"/>
                <w:szCs w:val="20"/>
              </w:rPr>
              <w:t xml:space="preserve">Zamjenik predsjednika Skupštine </w:t>
            </w:r>
            <w:r w:rsidR="008A4F8F" w:rsidRPr="000C5CA4">
              <w:rPr>
                <w:rFonts w:eastAsia="Times New Roman"/>
                <w:sz w:val="20"/>
                <w:szCs w:val="20"/>
              </w:rPr>
              <w:t>TK</w:t>
            </w:r>
          </w:p>
        </w:tc>
        <w:tc>
          <w:tcPr>
            <w:tcW w:w="0" w:type="auto"/>
            <w:shd w:val="clear" w:color="auto" w:fill="FFE599" w:themeFill="accent4" w:themeFillTint="66"/>
            <w:vAlign w:val="center"/>
          </w:tcPr>
          <w:p w14:paraId="1E6290B0" w14:textId="611EB6F3"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1</w:t>
            </w:r>
          </w:p>
        </w:tc>
        <w:tc>
          <w:tcPr>
            <w:tcW w:w="0" w:type="auto"/>
            <w:shd w:val="clear" w:color="auto" w:fill="D9E2F3" w:themeFill="accent5" w:themeFillTint="33"/>
            <w:vAlign w:val="center"/>
          </w:tcPr>
          <w:p w14:paraId="557C7D07" w14:textId="6C47AF5E" w:rsidR="00442B01" w:rsidRPr="000C5CA4" w:rsidRDefault="00442B01" w:rsidP="00442B01">
            <w:pPr>
              <w:spacing w:line="276" w:lineRule="auto"/>
              <w:jc w:val="center"/>
              <w:rPr>
                <w:rFonts w:eastAsia="Times New Roman"/>
                <w:bCs/>
                <w:sz w:val="20"/>
                <w:szCs w:val="20"/>
              </w:rPr>
            </w:pPr>
            <w:r w:rsidRPr="000C5CA4">
              <w:rPr>
                <w:rFonts w:cs="Calibri"/>
                <w:color w:val="000000"/>
                <w:sz w:val="20"/>
                <w:szCs w:val="20"/>
              </w:rPr>
              <w:t>50%</w:t>
            </w:r>
          </w:p>
        </w:tc>
        <w:tc>
          <w:tcPr>
            <w:tcW w:w="0" w:type="auto"/>
            <w:shd w:val="clear" w:color="auto" w:fill="FFE599" w:themeFill="accent4" w:themeFillTint="66"/>
            <w:vAlign w:val="center"/>
          </w:tcPr>
          <w:p w14:paraId="4655826F" w14:textId="619613A5"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1</w:t>
            </w:r>
          </w:p>
        </w:tc>
        <w:tc>
          <w:tcPr>
            <w:tcW w:w="0" w:type="auto"/>
            <w:shd w:val="clear" w:color="auto" w:fill="D9E2F3" w:themeFill="accent5" w:themeFillTint="33"/>
            <w:vAlign w:val="center"/>
          </w:tcPr>
          <w:p w14:paraId="40A5EA20" w14:textId="23AB3856" w:rsidR="00442B01" w:rsidRPr="000C5CA4" w:rsidRDefault="00442B01" w:rsidP="00442B01">
            <w:pPr>
              <w:spacing w:line="276" w:lineRule="auto"/>
              <w:jc w:val="center"/>
              <w:rPr>
                <w:rFonts w:eastAsia="Times New Roman"/>
                <w:bCs/>
                <w:sz w:val="20"/>
                <w:szCs w:val="20"/>
              </w:rPr>
            </w:pPr>
            <w:r w:rsidRPr="000C5CA4">
              <w:rPr>
                <w:rFonts w:cs="Calibri"/>
                <w:color w:val="000000"/>
                <w:sz w:val="20"/>
                <w:szCs w:val="20"/>
              </w:rPr>
              <w:t>50%</w:t>
            </w:r>
          </w:p>
        </w:tc>
        <w:tc>
          <w:tcPr>
            <w:tcW w:w="0" w:type="auto"/>
            <w:shd w:val="clear" w:color="auto" w:fill="FFE599" w:themeFill="accent4" w:themeFillTint="66"/>
            <w:vAlign w:val="center"/>
          </w:tcPr>
          <w:p w14:paraId="5979B5A3" w14:textId="1C3BE3FC"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2</w:t>
            </w:r>
          </w:p>
        </w:tc>
      </w:tr>
      <w:tr w:rsidR="00442B01" w:rsidRPr="000C5CA4" w14:paraId="0AF8B145" w14:textId="77777777" w:rsidTr="008A4F8F">
        <w:trPr>
          <w:jc w:val="center"/>
        </w:trPr>
        <w:tc>
          <w:tcPr>
            <w:tcW w:w="0" w:type="auto"/>
            <w:shd w:val="clear" w:color="auto" w:fill="B4C6E7" w:themeFill="accent5" w:themeFillTint="66"/>
            <w:vAlign w:val="center"/>
          </w:tcPr>
          <w:p w14:paraId="294AB09E" w14:textId="4DF0BFBC" w:rsidR="00442B01" w:rsidRPr="000C5CA4" w:rsidRDefault="00442B01" w:rsidP="008A4F8F">
            <w:pPr>
              <w:spacing w:line="276" w:lineRule="auto"/>
              <w:jc w:val="left"/>
              <w:rPr>
                <w:rFonts w:eastAsia="Times New Roman"/>
                <w:sz w:val="22"/>
                <w:szCs w:val="20"/>
              </w:rPr>
            </w:pPr>
            <w:r w:rsidRPr="000C5CA4">
              <w:rPr>
                <w:rFonts w:eastAsia="Times New Roman"/>
                <w:sz w:val="20"/>
                <w:szCs w:val="20"/>
              </w:rPr>
              <w:t xml:space="preserve">Radna tijela Skupštine </w:t>
            </w:r>
            <w:r w:rsidR="008A4F8F" w:rsidRPr="000C5CA4">
              <w:rPr>
                <w:rFonts w:eastAsia="Times New Roman"/>
                <w:sz w:val="20"/>
                <w:szCs w:val="20"/>
              </w:rPr>
              <w:t>TK</w:t>
            </w:r>
          </w:p>
        </w:tc>
        <w:tc>
          <w:tcPr>
            <w:tcW w:w="0" w:type="auto"/>
            <w:shd w:val="clear" w:color="auto" w:fill="FFE599" w:themeFill="accent4" w:themeFillTint="66"/>
            <w:vAlign w:val="center"/>
          </w:tcPr>
          <w:p w14:paraId="31666901" w14:textId="72C11F70"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64</w:t>
            </w:r>
          </w:p>
        </w:tc>
        <w:tc>
          <w:tcPr>
            <w:tcW w:w="0" w:type="auto"/>
            <w:shd w:val="clear" w:color="auto" w:fill="D9E2F3" w:themeFill="accent5" w:themeFillTint="33"/>
            <w:vAlign w:val="center"/>
          </w:tcPr>
          <w:p w14:paraId="4AAF04A0" w14:textId="151F9247" w:rsidR="00442B01" w:rsidRPr="000C5CA4" w:rsidRDefault="00442B01" w:rsidP="00442B01">
            <w:pPr>
              <w:spacing w:line="276" w:lineRule="auto"/>
              <w:jc w:val="center"/>
              <w:rPr>
                <w:rFonts w:eastAsia="Times New Roman"/>
                <w:bCs/>
                <w:sz w:val="20"/>
                <w:szCs w:val="20"/>
              </w:rPr>
            </w:pPr>
            <w:r w:rsidRPr="000C5CA4">
              <w:rPr>
                <w:rFonts w:cs="Calibri"/>
                <w:color w:val="000000"/>
                <w:sz w:val="20"/>
                <w:szCs w:val="20"/>
              </w:rPr>
              <w:t>59%</w:t>
            </w:r>
          </w:p>
        </w:tc>
        <w:tc>
          <w:tcPr>
            <w:tcW w:w="0" w:type="auto"/>
            <w:shd w:val="clear" w:color="auto" w:fill="FFE599" w:themeFill="accent4" w:themeFillTint="66"/>
            <w:vAlign w:val="center"/>
          </w:tcPr>
          <w:p w14:paraId="40D70967" w14:textId="23D55873"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45</w:t>
            </w:r>
          </w:p>
        </w:tc>
        <w:tc>
          <w:tcPr>
            <w:tcW w:w="0" w:type="auto"/>
            <w:shd w:val="clear" w:color="auto" w:fill="D9E2F3" w:themeFill="accent5" w:themeFillTint="33"/>
            <w:vAlign w:val="center"/>
          </w:tcPr>
          <w:p w14:paraId="67035B45" w14:textId="7A9D0365" w:rsidR="00442B01" w:rsidRPr="000C5CA4" w:rsidRDefault="00442B01" w:rsidP="00442B01">
            <w:pPr>
              <w:spacing w:line="276" w:lineRule="auto"/>
              <w:jc w:val="center"/>
              <w:rPr>
                <w:rFonts w:eastAsia="Times New Roman"/>
                <w:bCs/>
                <w:sz w:val="20"/>
                <w:szCs w:val="20"/>
              </w:rPr>
            </w:pPr>
            <w:r w:rsidRPr="000C5CA4">
              <w:rPr>
                <w:rFonts w:cs="Calibri"/>
                <w:color w:val="000000"/>
                <w:sz w:val="20"/>
                <w:szCs w:val="20"/>
              </w:rPr>
              <w:t>41%</w:t>
            </w:r>
          </w:p>
        </w:tc>
        <w:tc>
          <w:tcPr>
            <w:tcW w:w="0" w:type="auto"/>
            <w:shd w:val="clear" w:color="auto" w:fill="FFE599" w:themeFill="accent4" w:themeFillTint="66"/>
            <w:vAlign w:val="center"/>
          </w:tcPr>
          <w:p w14:paraId="14909D8C" w14:textId="3813B494" w:rsidR="00442B01" w:rsidRPr="000C5CA4" w:rsidRDefault="00442B01" w:rsidP="00442B01">
            <w:pPr>
              <w:spacing w:line="276" w:lineRule="auto"/>
              <w:jc w:val="center"/>
              <w:rPr>
                <w:rFonts w:eastAsia="Times New Roman"/>
                <w:sz w:val="22"/>
                <w:szCs w:val="20"/>
              </w:rPr>
            </w:pPr>
            <w:r w:rsidRPr="000C5CA4">
              <w:rPr>
                <w:rFonts w:eastAsia="Times New Roman"/>
                <w:bCs/>
                <w:sz w:val="20"/>
                <w:szCs w:val="20"/>
              </w:rPr>
              <w:t>109</w:t>
            </w:r>
          </w:p>
        </w:tc>
      </w:tr>
    </w:tbl>
    <w:p w14:paraId="7E05A53A" w14:textId="5F779BBF" w:rsidR="00442B01" w:rsidRPr="000C5CA4" w:rsidRDefault="00442B01" w:rsidP="00442B01">
      <w:pPr>
        <w:spacing w:line="276" w:lineRule="auto"/>
        <w:rPr>
          <w:rFonts w:eastAsia="Times New Roman"/>
          <w:sz w:val="22"/>
          <w:szCs w:val="20"/>
        </w:rPr>
      </w:pPr>
    </w:p>
    <w:p w14:paraId="2FAE174B" w14:textId="46DF02AC" w:rsidR="00CE5F0A" w:rsidRPr="000C5CA4" w:rsidRDefault="00CE5F0A" w:rsidP="00CE5F0A">
      <w:pPr>
        <w:spacing w:line="276" w:lineRule="auto"/>
        <w:rPr>
          <w:rFonts w:eastAsia="Times New Roman"/>
          <w:sz w:val="22"/>
          <w:szCs w:val="20"/>
          <w:lang w:eastAsia="en-GB"/>
        </w:rPr>
      </w:pPr>
      <w:r w:rsidRPr="000C5CA4">
        <w:rPr>
          <w:rFonts w:eastAsia="Times New Roman"/>
          <w:sz w:val="22"/>
          <w:szCs w:val="20"/>
          <w:lang w:eastAsia="en-GB"/>
        </w:rPr>
        <w:t>Što se tiče predsjednika radnih tijela Skupštine Tuzlanskog kantona u prethodnom sazivu od 2019. do februara 2022. osobe ženskog spola bile su predsjednici u 8 radnih tijela, a od februara 2022. do oktobra iste godine u 7 radnih tijela Skupštine Tuzlanskog kantona.</w:t>
      </w:r>
    </w:p>
    <w:p w14:paraId="0949DEDB" w14:textId="27AE2BF8" w:rsidR="00D1135E" w:rsidRPr="000C5CA4" w:rsidRDefault="00D1135E" w:rsidP="00672AC4">
      <w:pPr>
        <w:pStyle w:val="BodyText"/>
        <w:jc w:val="center"/>
        <w:rPr>
          <w:rFonts w:cs="Arial"/>
          <w:sz w:val="22"/>
        </w:rPr>
      </w:pPr>
    </w:p>
    <w:p w14:paraId="17693D64" w14:textId="77777777" w:rsidR="00BD4489" w:rsidRPr="000C5CA4" w:rsidRDefault="00FA3FD2" w:rsidP="00672AC4">
      <w:pPr>
        <w:spacing w:line="276" w:lineRule="auto"/>
        <w:rPr>
          <w:sz w:val="22"/>
          <w:szCs w:val="20"/>
          <w:lang w:eastAsia="en-GB"/>
        </w:rPr>
      </w:pPr>
      <w:r w:rsidRPr="000C5CA4">
        <w:rPr>
          <w:sz w:val="22"/>
          <w:szCs w:val="20"/>
          <w:lang w:eastAsia="en-GB"/>
        </w:rPr>
        <w:t xml:space="preserve">Ni Ustav ni Poslovnik Skupštine ne predviđaju da u sastavu rukovodstva ili radnih tijela Skupštine treba biti osigurana ravnopravna zastupljenost oba spola. </w:t>
      </w:r>
    </w:p>
    <w:p w14:paraId="26DB1796" w14:textId="77777777" w:rsidR="00BD4489" w:rsidRPr="000C5CA4" w:rsidRDefault="00BD4489" w:rsidP="00672AC4">
      <w:pPr>
        <w:spacing w:line="276" w:lineRule="auto"/>
        <w:rPr>
          <w:sz w:val="22"/>
          <w:szCs w:val="20"/>
          <w:lang w:eastAsia="en-GB"/>
        </w:rPr>
      </w:pPr>
    </w:p>
    <w:p w14:paraId="22552563" w14:textId="77777777" w:rsidR="0051689D" w:rsidRPr="000C5CA4" w:rsidRDefault="0051689D" w:rsidP="00672AC4">
      <w:pPr>
        <w:spacing w:line="276" w:lineRule="auto"/>
        <w:rPr>
          <w:sz w:val="22"/>
          <w:szCs w:val="20"/>
          <w:lang w:eastAsia="en-GB"/>
        </w:rPr>
        <w:sectPr w:rsidR="0051689D" w:rsidRPr="000C5CA4" w:rsidSect="002810B2">
          <w:type w:val="continuous"/>
          <w:pgSz w:w="11910" w:h="16840"/>
          <w:pgMar w:top="1440" w:right="1440" w:bottom="1247" w:left="1440" w:header="680" w:footer="510" w:gutter="0"/>
          <w:cols w:space="210"/>
          <w:titlePg/>
          <w:docGrid w:linePitch="299"/>
        </w:sectPr>
      </w:pPr>
    </w:p>
    <w:p w14:paraId="3EC454F9" w14:textId="19CFC0F0" w:rsidR="00ED28FE" w:rsidRPr="000C5CA4" w:rsidRDefault="00FA492A" w:rsidP="00672AC4">
      <w:pPr>
        <w:spacing w:line="276" w:lineRule="auto"/>
        <w:rPr>
          <w:sz w:val="22"/>
          <w:szCs w:val="20"/>
        </w:rPr>
      </w:pPr>
      <w:r w:rsidRPr="000C5CA4">
        <w:rPr>
          <w:sz w:val="22"/>
          <w:szCs w:val="20"/>
        </w:rPr>
        <w:t>Poslovnik o radu S</w:t>
      </w:r>
      <w:r w:rsidR="00ED28FE" w:rsidRPr="000C5CA4">
        <w:rPr>
          <w:sz w:val="22"/>
          <w:szCs w:val="20"/>
        </w:rPr>
        <w:t xml:space="preserve">kupštine </w:t>
      </w:r>
      <w:r w:rsidRPr="000C5CA4">
        <w:rPr>
          <w:sz w:val="22"/>
          <w:szCs w:val="20"/>
        </w:rPr>
        <w:t xml:space="preserve">TK </w:t>
      </w:r>
      <w:r w:rsidR="00ED28FE" w:rsidRPr="000C5CA4">
        <w:rPr>
          <w:sz w:val="22"/>
          <w:szCs w:val="20"/>
        </w:rPr>
        <w:t>sadrži posebnu mjeru za finansiranje parlamentarnih grupa koje imaju više posla</w:t>
      </w:r>
      <w:r w:rsidR="00D679C2" w:rsidRPr="000C5CA4">
        <w:rPr>
          <w:sz w:val="22"/>
          <w:szCs w:val="20"/>
        </w:rPr>
        <w:t>nika manjeg spola. Prema član</w:t>
      </w:r>
      <w:r w:rsidR="00770088" w:rsidRPr="000C5CA4">
        <w:rPr>
          <w:sz w:val="22"/>
          <w:szCs w:val="20"/>
        </w:rPr>
        <w:t>u</w:t>
      </w:r>
      <w:r w:rsidR="00D679C2" w:rsidRPr="000C5CA4">
        <w:rPr>
          <w:sz w:val="22"/>
          <w:szCs w:val="20"/>
        </w:rPr>
        <w:t xml:space="preserve"> 21</w:t>
      </w:r>
      <w:r w:rsidR="00ED28FE" w:rsidRPr="000C5CA4">
        <w:rPr>
          <w:sz w:val="22"/>
          <w:szCs w:val="20"/>
        </w:rPr>
        <w:t>.</w:t>
      </w:r>
      <w:r w:rsidR="00D679C2" w:rsidRPr="000C5CA4">
        <w:rPr>
          <w:sz w:val="22"/>
          <w:szCs w:val="20"/>
        </w:rPr>
        <w:t xml:space="preserve"> </w:t>
      </w:r>
      <w:r w:rsidR="00ED28FE" w:rsidRPr="000C5CA4">
        <w:rPr>
          <w:sz w:val="22"/>
          <w:szCs w:val="20"/>
        </w:rPr>
        <w:t xml:space="preserve">stav (3). </w:t>
      </w:r>
      <w:r w:rsidR="00D679C2" w:rsidRPr="000C5CA4">
        <w:rPr>
          <w:sz w:val="22"/>
          <w:szCs w:val="20"/>
        </w:rPr>
        <w:t>10% od ukupnog iznosa se raspoređuje parlamentarnim grupama srazmjerno broju poslanika koji pripadaju manje zastupljenom spolu.</w:t>
      </w:r>
    </w:p>
    <w:p w14:paraId="66EAFFB3" w14:textId="77777777" w:rsidR="00627041" w:rsidRPr="00627041" w:rsidRDefault="00627041" w:rsidP="00627041">
      <w:pPr>
        <w:rPr>
          <w:bCs/>
          <w:sz w:val="22"/>
          <w:szCs w:val="20"/>
        </w:rPr>
      </w:pPr>
      <w:r w:rsidRPr="00627041">
        <w:rPr>
          <w:bCs/>
          <w:sz w:val="22"/>
          <w:szCs w:val="20"/>
        </w:rPr>
        <w:t>Poslovnik Skupštine Tuzlanskog kantona („Službene novine Tuzlanskog kantona“, br. 13/19 i 5/20) sadrži odredbu da se „izrazi korišteni u Poslovniku, a koji su dati u jednom gramatičkom rodu, bez diskriminacije po bilo kom osnovu, odnose i na muški i na ženski spol“.</w:t>
      </w:r>
    </w:p>
    <w:p w14:paraId="523F07BB" w14:textId="77777777" w:rsidR="00ED28FE" w:rsidRPr="000C5CA4" w:rsidRDefault="00ED28FE" w:rsidP="00672AC4">
      <w:pPr>
        <w:spacing w:line="276" w:lineRule="auto"/>
        <w:rPr>
          <w:sz w:val="22"/>
          <w:szCs w:val="20"/>
        </w:rPr>
      </w:pPr>
    </w:p>
    <w:p w14:paraId="57188299" w14:textId="5292B2F2" w:rsidR="00ED28FE" w:rsidRPr="000C5CA4" w:rsidRDefault="00ED28FE" w:rsidP="00672AC4">
      <w:pPr>
        <w:spacing w:line="276" w:lineRule="auto"/>
        <w:rPr>
          <w:sz w:val="22"/>
          <w:szCs w:val="20"/>
          <w:lang w:eastAsia="en-GB"/>
        </w:rPr>
      </w:pPr>
      <w:r w:rsidRPr="000C5CA4">
        <w:rPr>
          <w:sz w:val="22"/>
          <w:szCs w:val="20"/>
          <w:lang w:eastAsia="en-GB"/>
        </w:rPr>
        <w:t xml:space="preserve">Ni Ustav ni Poslovnik Skupštine ne predviđaju da se kod potvrđivanja Vlade treba osigurati ravnopravna zastupljenost oba spola. </w:t>
      </w:r>
    </w:p>
    <w:p w14:paraId="7FAC5750" w14:textId="77777777" w:rsidR="00F214E2" w:rsidRPr="000C5CA4" w:rsidRDefault="00F214E2" w:rsidP="00672AC4">
      <w:pPr>
        <w:spacing w:line="276" w:lineRule="auto"/>
        <w:rPr>
          <w:sz w:val="22"/>
          <w:szCs w:val="20"/>
        </w:rPr>
      </w:pPr>
    </w:p>
    <w:p w14:paraId="599CB6C0" w14:textId="77777777" w:rsidR="008A4F8F" w:rsidRPr="000C5CA4" w:rsidRDefault="00ED28FE" w:rsidP="008A4F8F">
      <w:pPr>
        <w:pStyle w:val="Heading3"/>
        <w:rPr>
          <w:sz w:val="22"/>
          <w:szCs w:val="20"/>
        </w:rPr>
      </w:pPr>
      <w:bookmarkStart w:id="43" w:name="_Toc73392278"/>
      <w:bookmarkStart w:id="44" w:name="_Toc74118442"/>
      <w:bookmarkStart w:id="45" w:name="_Toc79420469"/>
      <w:bookmarkStart w:id="46" w:name="_Toc200303209"/>
      <w:r w:rsidRPr="000C5CA4">
        <w:rPr>
          <w:sz w:val="22"/>
          <w:szCs w:val="20"/>
        </w:rPr>
        <w:t>Zdravstvena zaštit</w:t>
      </w:r>
      <w:bookmarkEnd w:id="43"/>
      <w:bookmarkEnd w:id="44"/>
      <w:bookmarkEnd w:id="45"/>
      <w:r w:rsidR="00864571" w:rsidRPr="000C5CA4">
        <w:rPr>
          <w:sz w:val="22"/>
          <w:szCs w:val="20"/>
        </w:rPr>
        <w:t>a</w:t>
      </w:r>
      <w:bookmarkEnd w:id="46"/>
    </w:p>
    <w:p w14:paraId="5BC7E0E9" w14:textId="77777777" w:rsidR="008A4F8F" w:rsidRPr="000C5CA4" w:rsidRDefault="008A4F8F" w:rsidP="008A4F8F">
      <w:pPr>
        <w:rPr>
          <w:sz w:val="22"/>
          <w:szCs w:val="20"/>
        </w:rPr>
      </w:pPr>
    </w:p>
    <w:p w14:paraId="15C4ABB1" w14:textId="39CBD56F" w:rsidR="00ED28FE" w:rsidRPr="000C5CA4" w:rsidRDefault="00ED28FE" w:rsidP="00140CE9">
      <w:pPr>
        <w:spacing w:line="276" w:lineRule="auto"/>
        <w:rPr>
          <w:sz w:val="22"/>
          <w:szCs w:val="20"/>
        </w:rPr>
      </w:pPr>
      <w:r w:rsidRPr="000C5CA4">
        <w:rPr>
          <w:sz w:val="22"/>
          <w:szCs w:val="20"/>
        </w:rPr>
        <w:t xml:space="preserve">Vijeće ministara BiH je usvojilo Strategiju za odgovor na HIV i AIDS u BiH i Politiku seksualnog i reproduktivnog zdravlja i prava u BiH kojima se provode promotivne i afirmativne aktivnosti koje, između ostalog, tretiraju i ravnopravnost spolova u smislu ravnopravnog pristupa pravima i zdravstvenim servisima. </w:t>
      </w:r>
    </w:p>
    <w:p w14:paraId="34FB52A2" w14:textId="77777777" w:rsidR="00ED28FE" w:rsidRPr="000C5CA4" w:rsidRDefault="00ED28FE" w:rsidP="00140CE9">
      <w:pPr>
        <w:spacing w:line="276" w:lineRule="auto"/>
        <w:rPr>
          <w:sz w:val="22"/>
          <w:szCs w:val="20"/>
        </w:rPr>
      </w:pPr>
    </w:p>
    <w:p w14:paraId="289DE692" w14:textId="77777777" w:rsidR="00ED28FE" w:rsidRPr="000C5CA4" w:rsidRDefault="00ED28FE" w:rsidP="00140CE9">
      <w:pPr>
        <w:spacing w:line="276" w:lineRule="auto"/>
        <w:rPr>
          <w:sz w:val="22"/>
          <w:szCs w:val="20"/>
        </w:rPr>
      </w:pPr>
      <w:r w:rsidRPr="000C5CA4">
        <w:rPr>
          <w:sz w:val="22"/>
          <w:szCs w:val="20"/>
        </w:rPr>
        <w:t>Zakonom o zdravstvenoj zaštiti FBiH reguliraju se prava na zdravstvene usluge standardnog kvaliteta i jednakog sadržaja, dok u okviru obaveznog pokrića zdravstvenim osiguranjem žene imaju pravo na potpunu zdravstvenu zaštitu po pitanju trudnoće i materinstva, pravo na liječenje i medicinska sredstva, te pravo na vještačku oplodnju. Zakonom o zdravstvenoj zaštiti FBiH svim ženama (državljankama BiH) garantira se pravo na besplatan porod, postporođajnu zaštitu za majku u narednih šest mjeseci i besplatnu zdravstvenu zaštitu za djecu do 18 godina. U FBiH osnovnim paketom zdravstvenih prava predviđen je i paket osnovnih prava za neosigurane osobe koji se finansira sredstvima budžeta kantona ili općine prema mjestu zadnjeg prebivališta neosigurane osobe.</w:t>
      </w:r>
    </w:p>
    <w:p w14:paraId="4CA34116" w14:textId="77777777" w:rsidR="00ED28FE" w:rsidRPr="000C5CA4" w:rsidRDefault="00ED28FE" w:rsidP="00140CE9">
      <w:pPr>
        <w:spacing w:line="276" w:lineRule="auto"/>
        <w:rPr>
          <w:sz w:val="22"/>
          <w:szCs w:val="20"/>
        </w:rPr>
      </w:pPr>
    </w:p>
    <w:p w14:paraId="39AD507C" w14:textId="07EDE6C9" w:rsidR="002D0D43" w:rsidRPr="000C5CA4" w:rsidRDefault="002D0D43" w:rsidP="00140CE9">
      <w:pPr>
        <w:spacing w:line="276" w:lineRule="auto"/>
        <w:rPr>
          <w:sz w:val="22"/>
          <w:szCs w:val="20"/>
        </w:rPr>
      </w:pPr>
      <w:r w:rsidRPr="000C5CA4">
        <w:rPr>
          <w:sz w:val="22"/>
          <w:szCs w:val="20"/>
        </w:rPr>
        <w:t xml:space="preserve">Primarna zdravstvena zaštita na području Tuzlanskog kantona pruža se u 13 domova zdravlja sa 168 područnih ambulanti i 228 timova porodične medicine. Sekundarna zdravstvena zaštita provodi se djelimično u domovima zdravlja koji pružaju konsultativno-specijalističke, </w:t>
      </w:r>
      <w:r w:rsidRPr="000C5CA4">
        <w:rPr>
          <w:sz w:val="22"/>
          <w:szCs w:val="20"/>
        </w:rPr>
        <w:lastRenderedPageBreak/>
        <w:t xml:space="preserve">dijagnostičke, stomatološke i laboratorijske usluge, u privatnim ordinacijama specijalističke medicine i u okviru Univerzitetsko-Kliničkog Centra Tuzla i Opće Bolnice „Mustafa Beganović“ Gračanica. </w:t>
      </w:r>
    </w:p>
    <w:p w14:paraId="4CBB6C7C" w14:textId="2CB5F3F4" w:rsidR="004E3CDC" w:rsidRPr="000C5CA4" w:rsidRDefault="004E3CDC" w:rsidP="00140CE9">
      <w:pPr>
        <w:spacing w:line="276" w:lineRule="auto"/>
        <w:rPr>
          <w:sz w:val="22"/>
          <w:szCs w:val="20"/>
        </w:rPr>
      </w:pPr>
    </w:p>
    <w:p w14:paraId="5B5CAA5C" w14:textId="0D63B3EC" w:rsidR="004E3CDC" w:rsidRPr="000C5CA4" w:rsidRDefault="00CA3D30" w:rsidP="00140CE9">
      <w:pPr>
        <w:spacing w:line="276" w:lineRule="auto"/>
        <w:rPr>
          <w:sz w:val="22"/>
          <w:szCs w:val="20"/>
        </w:rPr>
      </w:pPr>
      <w:r w:rsidRPr="000C5CA4">
        <w:rPr>
          <w:sz w:val="22"/>
          <w:szCs w:val="20"/>
        </w:rPr>
        <w:t>Prema podacima Federalnog zavoda za statistiku, u 202</w:t>
      </w:r>
      <w:r w:rsidR="00DB542B" w:rsidRPr="000C5CA4">
        <w:rPr>
          <w:sz w:val="22"/>
          <w:szCs w:val="20"/>
        </w:rPr>
        <w:t>3</w:t>
      </w:r>
      <w:r w:rsidRPr="000C5CA4">
        <w:rPr>
          <w:sz w:val="22"/>
          <w:szCs w:val="20"/>
        </w:rPr>
        <w:t xml:space="preserve">. godini je u Tuzlanskom kantonu zabilježeno </w:t>
      </w:r>
      <w:r w:rsidR="00DB542B" w:rsidRPr="000C5CA4">
        <w:rPr>
          <w:sz w:val="22"/>
          <w:szCs w:val="20"/>
        </w:rPr>
        <w:t>3251</w:t>
      </w:r>
      <w:r w:rsidRPr="000C5CA4">
        <w:rPr>
          <w:sz w:val="22"/>
          <w:szCs w:val="20"/>
        </w:rPr>
        <w:t xml:space="preserve"> poroda od čega je </w:t>
      </w:r>
      <w:r w:rsidR="00DB542B" w:rsidRPr="000C5CA4">
        <w:rPr>
          <w:sz w:val="22"/>
          <w:szCs w:val="20"/>
        </w:rPr>
        <w:t>3233</w:t>
      </w:r>
      <w:r w:rsidRPr="000C5CA4">
        <w:rPr>
          <w:sz w:val="22"/>
          <w:szCs w:val="20"/>
        </w:rPr>
        <w:t xml:space="preserve"> živorođene djece (1</w:t>
      </w:r>
      <w:r w:rsidR="00DB542B" w:rsidRPr="000C5CA4">
        <w:rPr>
          <w:sz w:val="22"/>
          <w:szCs w:val="20"/>
        </w:rPr>
        <w:t>8</w:t>
      </w:r>
      <w:r w:rsidRPr="000C5CA4">
        <w:rPr>
          <w:sz w:val="22"/>
          <w:szCs w:val="20"/>
        </w:rPr>
        <w:t xml:space="preserve"> mrtvorođenih). Broj živorođenih se u odno</w:t>
      </w:r>
      <w:r w:rsidR="00DB2759" w:rsidRPr="000C5CA4">
        <w:rPr>
          <w:sz w:val="22"/>
          <w:szCs w:val="20"/>
        </w:rPr>
        <w:t>s</w:t>
      </w:r>
      <w:r w:rsidRPr="000C5CA4">
        <w:rPr>
          <w:sz w:val="22"/>
          <w:szCs w:val="20"/>
        </w:rPr>
        <w:t>u na 20</w:t>
      </w:r>
      <w:r w:rsidR="00DB542B" w:rsidRPr="000C5CA4">
        <w:rPr>
          <w:sz w:val="22"/>
          <w:szCs w:val="20"/>
        </w:rPr>
        <w:t>20</w:t>
      </w:r>
      <w:r w:rsidRPr="000C5CA4">
        <w:rPr>
          <w:sz w:val="22"/>
          <w:szCs w:val="20"/>
        </w:rPr>
        <w:t xml:space="preserve">. godinu smanjio za </w:t>
      </w:r>
      <w:r w:rsidR="00DB542B" w:rsidRPr="000C5CA4">
        <w:rPr>
          <w:sz w:val="22"/>
          <w:szCs w:val="20"/>
        </w:rPr>
        <w:t>192,  a u odnosu na 2021</w:t>
      </w:r>
      <w:r w:rsidRPr="000C5CA4">
        <w:rPr>
          <w:sz w:val="22"/>
          <w:szCs w:val="20"/>
        </w:rPr>
        <w:t xml:space="preserve">. godinu za </w:t>
      </w:r>
      <w:r w:rsidR="00DB542B" w:rsidRPr="000C5CA4">
        <w:rPr>
          <w:sz w:val="22"/>
          <w:szCs w:val="20"/>
        </w:rPr>
        <w:t>71</w:t>
      </w:r>
      <w:r w:rsidRPr="000C5CA4">
        <w:rPr>
          <w:sz w:val="22"/>
          <w:szCs w:val="20"/>
        </w:rPr>
        <w:t xml:space="preserve"> dijete.</w:t>
      </w:r>
    </w:p>
    <w:p w14:paraId="02CE499D" w14:textId="6FBC9F36" w:rsidR="00DB542B" w:rsidRPr="000C5CA4" w:rsidRDefault="00DB542B" w:rsidP="00672AC4">
      <w:pPr>
        <w:spacing w:line="276" w:lineRule="auto"/>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23"/>
        <w:gridCol w:w="890"/>
        <w:gridCol w:w="736"/>
        <w:gridCol w:w="780"/>
        <w:gridCol w:w="1491"/>
        <w:gridCol w:w="1404"/>
        <w:gridCol w:w="2074"/>
      </w:tblGrid>
      <w:tr w:rsidR="00DB542B" w:rsidRPr="000C5CA4" w14:paraId="66C1F3F6" w14:textId="77777777" w:rsidTr="00DB542B">
        <w:trPr>
          <w:trHeight w:val="288"/>
        </w:trPr>
        <w:tc>
          <w:tcPr>
            <w:tcW w:w="0" w:type="auto"/>
            <w:vMerge w:val="restart"/>
            <w:shd w:val="clear" w:color="auto" w:fill="8EAADB" w:themeFill="accent5" w:themeFillTint="99"/>
            <w:noWrap/>
            <w:vAlign w:val="bottom"/>
            <w:hideMark/>
          </w:tcPr>
          <w:p w14:paraId="07A2BC20" w14:textId="6D40DBC9" w:rsidR="00DB542B" w:rsidRPr="000C5CA4" w:rsidRDefault="00DB542B" w:rsidP="00DB542B">
            <w:pPr>
              <w:widowControl/>
              <w:tabs>
                <w:tab w:val="clear" w:pos="5103"/>
              </w:tabs>
              <w:autoSpaceDE/>
              <w:autoSpaceDN/>
              <w:spacing w:line="240" w:lineRule="auto"/>
              <w:ind w:right="0"/>
              <w:jc w:val="left"/>
              <w:rPr>
                <w:rFonts w:eastAsia="Times New Roman"/>
                <w:sz w:val="20"/>
                <w:szCs w:val="20"/>
                <w:lang w:eastAsia="bs-Latn-BA"/>
              </w:rPr>
            </w:pPr>
            <w:r w:rsidRPr="000C5CA4">
              <w:rPr>
                <w:rFonts w:eastAsia="Times New Roman"/>
                <w:sz w:val="20"/>
                <w:szCs w:val="20"/>
                <w:lang w:eastAsia="bs-Latn-BA"/>
              </w:rPr>
              <w:t>Godina</w:t>
            </w:r>
          </w:p>
        </w:tc>
        <w:tc>
          <w:tcPr>
            <w:tcW w:w="0" w:type="auto"/>
            <w:vMerge w:val="restart"/>
            <w:shd w:val="clear" w:color="auto" w:fill="8EAADB" w:themeFill="accent5" w:themeFillTint="99"/>
            <w:noWrap/>
            <w:vAlign w:val="bottom"/>
            <w:hideMark/>
          </w:tcPr>
          <w:p w14:paraId="0917D286" w14:textId="77777777" w:rsidR="00DB542B" w:rsidRPr="000C5CA4" w:rsidRDefault="00DB542B" w:rsidP="00DB542B">
            <w:pPr>
              <w:widowControl/>
              <w:tabs>
                <w:tab w:val="clear" w:pos="5103"/>
              </w:tabs>
              <w:autoSpaceDE/>
              <w:autoSpaceDN/>
              <w:spacing w:line="240" w:lineRule="auto"/>
              <w:ind w:right="0"/>
              <w:jc w:val="center"/>
              <w:rPr>
                <w:rFonts w:eastAsia="Times New Roman" w:cs="Calibri"/>
                <w:color w:val="000000"/>
                <w:sz w:val="20"/>
                <w:szCs w:val="20"/>
                <w:lang w:eastAsia="bs-Latn-BA"/>
              </w:rPr>
            </w:pPr>
            <w:r w:rsidRPr="000C5CA4">
              <w:rPr>
                <w:rFonts w:eastAsia="Times New Roman" w:cs="Calibri"/>
                <w:color w:val="000000"/>
                <w:sz w:val="20"/>
                <w:szCs w:val="20"/>
                <w:lang w:eastAsia="bs-Latn-BA"/>
              </w:rPr>
              <w:t>Rođeni</w:t>
            </w:r>
          </w:p>
        </w:tc>
        <w:tc>
          <w:tcPr>
            <w:tcW w:w="0" w:type="auto"/>
            <w:gridSpan w:val="3"/>
            <w:shd w:val="clear" w:color="auto" w:fill="8EAADB" w:themeFill="accent5" w:themeFillTint="99"/>
            <w:noWrap/>
            <w:vAlign w:val="bottom"/>
            <w:hideMark/>
          </w:tcPr>
          <w:p w14:paraId="71F40950" w14:textId="77777777" w:rsidR="00DB542B" w:rsidRPr="000C5CA4" w:rsidRDefault="00DB542B" w:rsidP="00DB542B">
            <w:pPr>
              <w:widowControl/>
              <w:tabs>
                <w:tab w:val="clear" w:pos="5103"/>
              </w:tabs>
              <w:autoSpaceDE/>
              <w:autoSpaceDN/>
              <w:spacing w:line="240" w:lineRule="auto"/>
              <w:ind w:right="0"/>
              <w:jc w:val="center"/>
              <w:rPr>
                <w:rFonts w:eastAsia="Times New Roman" w:cs="Calibri"/>
                <w:color w:val="000000"/>
                <w:sz w:val="20"/>
                <w:szCs w:val="20"/>
                <w:lang w:eastAsia="bs-Latn-BA"/>
              </w:rPr>
            </w:pPr>
            <w:r w:rsidRPr="000C5CA4">
              <w:rPr>
                <w:rFonts w:eastAsia="Times New Roman" w:cs="Calibri"/>
                <w:color w:val="000000"/>
                <w:sz w:val="20"/>
                <w:szCs w:val="20"/>
                <w:lang w:eastAsia="bs-Latn-BA"/>
              </w:rPr>
              <w:t>Živorođeni</w:t>
            </w:r>
          </w:p>
        </w:tc>
        <w:tc>
          <w:tcPr>
            <w:tcW w:w="0" w:type="auto"/>
            <w:vMerge w:val="restart"/>
            <w:shd w:val="clear" w:color="auto" w:fill="8EAADB" w:themeFill="accent5" w:themeFillTint="99"/>
            <w:vAlign w:val="bottom"/>
            <w:hideMark/>
          </w:tcPr>
          <w:p w14:paraId="3A162977" w14:textId="77777777" w:rsidR="00DB542B" w:rsidRPr="000C5CA4" w:rsidRDefault="00DB542B" w:rsidP="00DB542B">
            <w:pPr>
              <w:widowControl/>
              <w:tabs>
                <w:tab w:val="clear" w:pos="5103"/>
              </w:tabs>
              <w:autoSpaceDE/>
              <w:autoSpaceDN/>
              <w:spacing w:line="240" w:lineRule="auto"/>
              <w:ind w:right="0"/>
              <w:jc w:val="center"/>
              <w:rPr>
                <w:rFonts w:eastAsia="Times New Roman" w:cs="Calibri"/>
                <w:color w:val="000000"/>
                <w:sz w:val="20"/>
                <w:szCs w:val="20"/>
                <w:lang w:eastAsia="bs-Latn-BA"/>
              </w:rPr>
            </w:pPr>
            <w:r w:rsidRPr="000C5CA4">
              <w:rPr>
                <w:rFonts w:eastAsia="Times New Roman" w:cs="Calibri"/>
                <w:color w:val="000000"/>
                <w:sz w:val="20"/>
                <w:szCs w:val="20"/>
                <w:lang w:eastAsia="bs-Latn-BA"/>
              </w:rPr>
              <w:t>Prirodni priraštaj</w:t>
            </w:r>
          </w:p>
        </w:tc>
        <w:tc>
          <w:tcPr>
            <w:tcW w:w="0" w:type="auto"/>
            <w:vMerge w:val="restart"/>
            <w:shd w:val="clear" w:color="auto" w:fill="8EAADB" w:themeFill="accent5" w:themeFillTint="99"/>
            <w:vAlign w:val="bottom"/>
            <w:hideMark/>
          </w:tcPr>
          <w:p w14:paraId="7F41872E" w14:textId="77777777" w:rsidR="00DB542B" w:rsidRPr="000C5CA4" w:rsidRDefault="00DB542B" w:rsidP="00DB542B">
            <w:pPr>
              <w:widowControl/>
              <w:tabs>
                <w:tab w:val="clear" w:pos="5103"/>
              </w:tabs>
              <w:autoSpaceDE/>
              <w:autoSpaceDN/>
              <w:spacing w:line="240" w:lineRule="auto"/>
              <w:ind w:right="0"/>
              <w:jc w:val="center"/>
              <w:rPr>
                <w:rFonts w:eastAsia="Times New Roman" w:cs="Calibri"/>
                <w:color w:val="000000"/>
                <w:sz w:val="20"/>
                <w:szCs w:val="20"/>
                <w:lang w:eastAsia="bs-Latn-BA"/>
              </w:rPr>
            </w:pPr>
            <w:r w:rsidRPr="000C5CA4">
              <w:rPr>
                <w:rFonts w:eastAsia="Times New Roman" w:cs="Calibri"/>
                <w:color w:val="000000"/>
                <w:sz w:val="20"/>
                <w:szCs w:val="20"/>
                <w:lang w:eastAsia="bs-Latn-BA"/>
              </w:rPr>
              <w:t>Stopa nataliteta</w:t>
            </w:r>
          </w:p>
        </w:tc>
        <w:tc>
          <w:tcPr>
            <w:tcW w:w="0" w:type="auto"/>
            <w:vMerge w:val="restart"/>
            <w:shd w:val="clear" w:color="auto" w:fill="8EAADB" w:themeFill="accent5" w:themeFillTint="99"/>
            <w:vAlign w:val="bottom"/>
            <w:hideMark/>
          </w:tcPr>
          <w:p w14:paraId="0FEBDE75" w14:textId="77777777" w:rsidR="00DB542B" w:rsidRPr="000C5CA4" w:rsidRDefault="00DB542B" w:rsidP="00DB542B">
            <w:pPr>
              <w:widowControl/>
              <w:tabs>
                <w:tab w:val="clear" w:pos="5103"/>
              </w:tabs>
              <w:autoSpaceDE/>
              <w:autoSpaceDN/>
              <w:spacing w:line="240" w:lineRule="auto"/>
              <w:ind w:right="0"/>
              <w:jc w:val="center"/>
              <w:rPr>
                <w:rFonts w:eastAsia="Times New Roman" w:cs="Calibri"/>
                <w:color w:val="000000"/>
                <w:sz w:val="20"/>
                <w:szCs w:val="20"/>
                <w:lang w:eastAsia="bs-Latn-BA"/>
              </w:rPr>
            </w:pPr>
            <w:r w:rsidRPr="000C5CA4">
              <w:rPr>
                <w:rFonts w:eastAsia="Times New Roman" w:cs="Calibri"/>
                <w:color w:val="000000"/>
                <w:sz w:val="20"/>
                <w:szCs w:val="20"/>
                <w:lang w:eastAsia="bs-Latn-BA"/>
              </w:rPr>
              <w:t>Stopa prirodnog priraštaja</w:t>
            </w:r>
          </w:p>
        </w:tc>
      </w:tr>
      <w:tr w:rsidR="00DB542B" w:rsidRPr="000C5CA4" w14:paraId="71213A22" w14:textId="77777777" w:rsidTr="00DB542B">
        <w:trPr>
          <w:trHeight w:val="151"/>
        </w:trPr>
        <w:tc>
          <w:tcPr>
            <w:tcW w:w="0" w:type="auto"/>
            <w:vMerge/>
            <w:shd w:val="clear" w:color="auto" w:fill="auto"/>
            <w:noWrap/>
            <w:vAlign w:val="bottom"/>
            <w:hideMark/>
          </w:tcPr>
          <w:p w14:paraId="39B90CD1" w14:textId="77777777" w:rsidR="00DB542B" w:rsidRPr="000C5CA4" w:rsidRDefault="00DB542B" w:rsidP="00DB542B">
            <w:pPr>
              <w:widowControl/>
              <w:tabs>
                <w:tab w:val="clear" w:pos="5103"/>
              </w:tabs>
              <w:autoSpaceDE/>
              <w:autoSpaceDN/>
              <w:spacing w:line="240" w:lineRule="auto"/>
              <w:ind w:right="0"/>
              <w:jc w:val="center"/>
              <w:rPr>
                <w:rFonts w:eastAsia="Times New Roman" w:cs="Calibri"/>
                <w:color w:val="000000"/>
                <w:sz w:val="20"/>
                <w:szCs w:val="20"/>
                <w:lang w:eastAsia="bs-Latn-BA"/>
              </w:rPr>
            </w:pPr>
          </w:p>
        </w:tc>
        <w:tc>
          <w:tcPr>
            <w:tcW w:w="0" w:type="auto"/>
            <w:vMerge/>
            <w:vAlign w:val="center"/>
            <w:hideMark/>
          </w:tcPr>
          <w:p w14:paraId="0B2D8FB6" w14:textId="77777777" w:rsidR="00DB542B" w:rsidRPr="000C5CA4" w:rsidRDefault="00DB542B" w:rsidP="00DB542B">
            <w:pPr>
              <w:widowControl/>
              <w:tabs>
                <w:tab w:val="clear" w:pos="5103"/>
              </w:tabs>
              <w:autoSpaceDE/>
              <w:autoSpaceDN/>
              <w:spacing w:line="240" w:lineRule="auto"/>
              <w:ind w:right="0"/>
              <w:jc w:val="left"/>
              <w:rPr>
                <w:rFonts w:eastAsia="Times New Roman" w:cs="Calibri"/>
                <w:color w:val="000000"/>
                <w:sz w:val="20"/>
                <w:szCs w:val="20"/>
                <w:lang w:eastAsia="bs-Latn-BA"/>
              </w:rPr>
            </w:pPr>
          </w:p>
        </w:tc>
        <w:tc>
          <w:tcPr>
            <w:tcW w:w="0" w:type="auto"/>
            <w:shd w:val="clear" w:color="auto" w:fill="8EAADB" w:themeFill="accent5" w:themeFillTint="99"/>
            <w:noWrap/>
            <w:vAlign w:val="bottom"/>
            <w:hideMark/>
          </w:tcPr>
          <w:p w14:paraId="6DEEEE2A" w14:textId="77777777" w:rsidR="00DB542B" w:rsidRPr="000C5CA4" w:rsidRDefault="00DB542B" w:rsidP="00DB542B">
            <w:pPr>
              <w:widowControl/>
              <w:tabs>
                <w:tab w:val="clear" w:pos="5103"/>
              </w:tabs>
              <w:autoSpaceDE/>
              <w:autoSpaceDN/>
              <w:spacing w:line="240" w:lineRule="auto"/>
              <w:ind w:right="0"/>
              <w:jc w:val="left"/>
              <w:rPr>
                <w:rFonts w:eastAsia="Times New Roman" w:cs="Calibri"/>
                <w:color w:val="000000"/>
                <w:sz w:val="20"/>
                <w:szCs w:val="20"/>
                <w:lang w:eastAsia="bs-Latn-BA"/>
              </w:rPr>
            </w:pPr>
            <w:r w:rsidRPr="000C5CA4">
              <w:rPr>
                <w:rFonts w:eastAsia="Times New Roman" w:cs="Calibri"/>
                <w:color w:val="000000"/>
                <w:sz w:val="20"/>
                <w:szCs w:val="20"/>
                <w:lang w:eastAsia="bs-Latn-BA"/>
              </w:rPr>
              <w:t>Ukupno</w:t>
            </w:r>
          </w:p>
        </w:tc>
        <w:tc>
          <w:tcPr>
            <w:tcW w:w="0" w:type="auto"/>
            <w:shd w:val="clear" w:color="auto" w:fill="8EAADB" w:themeFill="accent5" w:themeFillTint="99"/>
            <w:noWrap/>
            <w:vAlign w:val="bottom"/>
            <w:hideMark/>
          </w:tcPr>
          <w:p w14:paraId="0233B22E" w14:textId="77777777" w:rsidR="00DB542B" w:rsidRPr="000C5CA4" w:rsidRDefault="00DB542B" w:rsidP="00DB542B">
            <w:pPr>
              <w:widowControl/>
              <w:tabs>
                <w:tab w:val="clear" w:pos="5103"/>
              </w:tabs>
              <w:autoSpaceDE/>
              <w:autoSpaceDN/>
              <w:spacing w:line="240" w:lineRule="auto"/>
              <w:ind w:right="0"/>
              <w:jc w:val="left"/>
              <w:rPr>
                <w:rFonts w:eastAsia="Times New Roman" w:cs="Calibri"/>
                <w:color w:val="000000"/>
                <w:sz w:val="20"/>
                <w:szCs w:val="20"/>
                <w:lang w:eastAsia="bs-Latn-BA"/>
              </w:rPr>
            </w:pPr>
            <w:r w:rsidRPr="000C5CA4">
              <w:rPr>
                <w:rFonts w:eastAsia="Times New Roman" w:cs="Calibri"/>
                <w:color w:val="000000"/>
                <w:sz w:val="20"/>
                <w:szCs w:val="20"/>
                <w:lang w:eastAsia="bs-Latn-BA"/>
              </w:rPr>
              <w:t>Muški</w:t>
            </w:r>
          </w:p>
        </w:tc>
        <w:tc>
          <w:tcPr>
            <w:tcW w:w="0" w:type="auto"/>
            <w:shd w:val="clear" w:color="auto" w:fill="8EAADB" w:themeFill="accent5" w:themeFillTint="99"/>
            <w:noWrap/>
            <w:vAlign w:val="bottom"/>
            <w:hideMark/>
          </w:tcPr>
          <w:p w14:paraId="14473800" w14:textId="77777777" w:rsidR="00DB542B" w:rsidRPr="000C5CA4" w:rsidRDefault="00DB542B" w:rsidP="00DB542B">
            <w:pPr>
              <w:widowControl/>
              <w:tabs>
                <w:tab w:val="clear" w:pos="5103"/>
              </w:tabs>
              <w:autoSpaceDE/>
              <w:autoSpaceDN/>
              <w:spacing w:line="240" w:lineRule="auto"/>
              <w:ind w:right="0"/>
              <w:jc w:val="left"/>
              <w:rPr>
                <w:rFonts w:eastAsia="Times New Roman" w:cs="Calibri"/>
                <w:color w:val="000000"/>
                <w:sz w:val="20"/>
                <w:szCs w:val="20"/>
                <w:lang w:eastAsia="bs-Latn-BA"/>
              </w:rPr>
            </w:pPr>
            <w:r w:rsidRPr="000C5CA4">
              <w:rPr>
                <w:rFonts w:eastAsia="Times New Roman" w:cs="Calibri"/>
                <w:color w:val="000000"/>
                <w:sz w:val="20"/>
                <w:szCs w:val="20"/>
                <w:lang w:eastAsia="bs-Latn-BA"/>
              </w:rPr>
              <w:t>Ženski</w:t>
            </w:r>
          </w:p>
        </w:tc>
        <w:tc>
          <w:tcPr>
            <w:tcW w:w="0" w:type="auto"/>
            <w:vMerge/>
            <w:vAlign w:val="center"/>
            <w:hideMark/>
          </w:tcPr>
          <w:p w14:paraId="0B3C0EB4" w14:textId="77777777" w:rsidR="00DB542B" w:rsidRPr="000C5CA4" w:rsidRDefault="00DB542B" w:rsidP="00DB542B">
            <w:pPr>
              <w:widowControl/>
              <w:tabs>
                <w:tab w:val="clear" w:pos="5103"/>
              </w:tabs>
              <w:autoSpaceDE/>
              <w:autoSpaceDN/>
              <w:spacing w:line="240" w:lineRule="auto"/>
              <w:ind w:right="0"/>
              <w:jc w:val="left"/>
              <w:rPr>
                <w:rFonts w:eastAsia="Times New Roman" w:cs="Calibri"/>
                <w:color w:val="000000"/>
                <w:sz w:val="20"/>
                <w:szCs w:val="20"/>
                <w:lang w:eastAsia="bs-Latn-BA"/>
              </w:rPr>
            </w:pPr>
          </w:p>
        </w:tc>
        <w:tc>
          <w:tcPr>
            <w:tcW w:w="0" w:type="auto"/>
            <w:vMerge/>
            <w:vAlign w:val="center"/>
            <w:hideMark/>
          </w:tcPr>
          <w:p w14:paraId="1A0CCA70" w14:textId="77777777" w:rsidR="00DB542B" w:rsidRPr="000C5CA4" w:rsidRDefault="00DB542B" w:rsidP="00DB542B">
            <w:pPr>
              <w:widowControl/>
              <w:tabs>
                <w:tab w:val="clear" w:pos="5103"/>
              </w:tabs>
              <w:autoSpaceDE/>
              <w:autoSpaceDN/>
              <w:spacing w:line="240" w:lineRule="auto"/>
              <w:ind w:right="0"/>
              <w:jc w:val="left"/>
              <w:rPr>
                <w:rFonts w:eastAsia="Times New Roman" w:cs="Calibri"/>
                <w:color w:val="000000"/>
                <w:sz w:val="20"/>
                <w:szCs w:val="20"/>
                <w:lang w:eastAsia="bs-Latn-BA"/>
              </w:rPr>
            </w:pPr>
          </w:p>
        </w:tc>
        <w:tc>
          <w:tcPr>
            <w:tcW w:w="0" w:type="auto"/>
            <w:vMerge/>
            <w:vAlign w:val="center"/>
            <w:hideMark/>
          </w:tcPr>
          <w:p w14:paraId="77BEE341" w14:textId="77777777" w:rsidR="00DB542B" w:rsidRPr="000C5CA4" w:rsidRDefault="00DB542B" w:rsidP="00DB542B">
            <w:pPr>
              <w:widowControl/>
              <w:tabs>
                <w:tab w:val="clear" w:pos="5103"/>
              </w:tabs>
              <w:autoSpaceDE/>
              <w:autoSpaceDN/>
              <w:spacing w:line="240" w:lineRule="auto"/>
              <w:ind w:right="0"/>
              <w:jc w:val="left"/>
              <w:rPr>
                <w:rFonts w:eastAsia="Times New Roman" w:cs="Calibri"/>
                <w:color w:val="000000"/>
                <w:sz w:val="20"/>
                <w:szCs w:val="20"/>
                <w:lang w:eastAsia="bs-Latn-BA"/>
              </w:rPr>
            </w:pPr>
          </w:p>
        </w:tc>
      </w:tr>
      <w:tr w:rsidR="00DB542B" w:rsidRPr="000C5CA4" w14:paraId="7B2B64FF" w14:textId="77777777" w:rsidTr="00DB542B">
        <w:trPr>
          <w:trHeight w:val="288"/>
        </w:trPr>
        <w:tc>
          <w:tcPr>
            <w:tcW w:w="0" w:type="auto"/>
            <w:shd w:val="clear" w:color="auto" w:fill="FFE599" w:themeFill="accent4" w:themeFillTint="66"/>
            <w:noWrap/>
            <w:vAlign w:val="bottom"/>
            <w:hideMark/>
          </w:tcPr>
          <w:p w14:paraId="22C01E91"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2021</w:t>
            </w:r>
          </w:p>
        </w:tc>
        <w:tc>
          <w:tcPr>
            <w:tcW w:w="0" w:type="auto"/>
            <w:shd w:val="clear" w:color="auto" w:fill="FFE599" w:themeFill="accent4" w:themeFillTint="66"/>
            <w:noWrap/>
            <w:vAlign w:val="bottom"/>
            <w:hideMark/>
          </w:tcPr>
          <w:p w14:paraId="3F617006"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3368</w:t>
            </w:r>
          </w:p>
        </w:tc>
        <w:tc>
          <w:tcPr>
            <w:tcW w:w="0" w:type="auto"/>
            <w:shd w:val="clear" w:color="auto" w:fill="FFE599" w:themeFill="accent4" w:themeFillTint="66"/>
            <w:noWrap/>
            <w:vAlign w:val="bottom"/>
            <w:hideMark/>
          </w:tcPr>
          <w:p w14:paraId="18137DBC"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3354</w:t>
            </w:r>
          </w:p>
        </w:tc>
        <w:tc>
          <w:tcPr>
            <w:tcW w:w="0" w:type="auto"/>
            <w:shd w:val="clear" w:color="auto" w:fill="FFE599" w:themeFill="accent4" w:themeFillTint="66"/>
            <w:noWrap/>
            <w:vAlign w:val="bottom"/>
            <w:hideMark/>
          </w:tcPr>
          <w:p w14:paraId="3ECB49D2"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1714</w:t>
            </w:r>
          </w:p>
        </w:tc>
        <w:tc>
          <w:tcPr>
            <w:tcW w:w="0" w:type="auto"/>
            <w:shd w:val="clear" w:color="auto" w:fill="FFE599" w:themeFill="accent4" w:themeFillTint="66"/>
            <w:noWrap/>
            <w:vAlign w:val="bottom"/>
            <w:hideMark/>
          </w:tcPr>
          <w:p w14:paraId="17DBE3CB"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1640</w:t>
            </w:r>
          </w:p>
        </w:tc>
        <w:tc>
          <w:tcPr>
            <w:tcW w:w="0" w:type="auto"/>
            <w:shd w:val="clear" w:color="auto" w:fill="FFE599" w:themeFill="accent4" w:themeFillTint="66"/>
            <w:noWrap/>
            <w:vAlign w:val="bottom"/>
            <w:hideMark/>
          </w:tcPr>
          <w:p w14:paraId="69BEA8CD"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-2415</w:t>
            </w:r>
          </w:p>
        </w:tc>
        <w:tc>
          <w:tcPr>
            <w:tcW w:w="0" w:type="auto"/>
            <w:shd w:val="clear" w:color="auto" w:fill="FFE599" w:themeFill="accent4" w:themeFillTint="66"/>
            <w:noWrap/>
            <w:vAlign w:val="bottom"/>
            <w:hideMark/>
          </w:tcPr>
          <w:p w14:paraId="525EBA4E"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7.7</w:t>
            </w:r>
          </w:p>
        </w:tc>
        <w:tc>
          <w:tcPr>
            <w:tcW w:w="0" w:type="auto"/>
            <w:shd w:val="clear" w:color="auto" w:fill="FFE599" w:themeFill="accent4" w:themeFillTint="66"/>
            <w:noWrap/>
            <w:vAlign w:val="bottom"/>
            <w:hideMark/>
          </w:tcPr>
          <w:p w14:paraId="171E2984"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-5.6</w:t>
            </w:r>
          </w:p>
        </w:tc>
      </w:tr>
      <w:tr w:rsidR="00DB542B" w:rsidRPr="000C5CA4" w14:paraId="5E4A1003" w14:textId="77777777" w:rsidTr="00DB542B">
        <w:trPr>
          <w:trHeight w:val="288"/>
        </w:trPr>
        <w:tc>
          <w:tcPr>
            <w:tcW w:w="0" w:type="auto"/>
            <w:shd w:val="clear" w:color="auto" w:fill="D9E2F3" w:themeFill="accent5" w:themeFillTint="33"/>
            <w:noWrap/>
            <w:vAlign w:val="bottom"/>
            <w:hideMark/>
          </w:tcPr>
          <w:p w14:paraId="4ACE85BE"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2022</w:t>
            </w:r>
          </w:p>
        </w:tc>
        <w:tc>
          <w:tcPr>
            <w:tcW w:w="0" w:type="auto"/>
            <w:shd w:val="clear" w:color="auto" w:fill="D9E2F3" w:themeFill="accent5" w:themeFillTint="33"/>
            <w:noWrap/>
            <w:vAlign w:val="bottom"/>
            <w:hideMark/>
          </w:tcPr>
          <w:p w14:paraId="6FEDB4A5"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3285</w:t>
            </w:r>
          </w:p>
        </w:tc>
        <w:tc>
          <w:tcPr>
            <w:tcW w:w="0" w:type="auto"/>
            <w:shd w:val="clear" w:color="auto" w:fill="D9E2F3" w:themeFill="accent5" w:themeFillTint="33"/>
            <w:noWrap/>
            <w:vAlign w:val="bottom"/>
            <w:hideMark/>
          </w:tcPr>
          <w:p w14:paraId="0D3809FE"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3266</w:t>
            </w:r>
          </w:p>
        </w:tc>
        <w:tc>
          <w:tcPr>
            <w:tcW w:w="0" w:type="auto"/>
            <w:shd w:val="clear" w:color="auto" w:fill="D9E2F3" w:themeFill="accent5" w:themeFillTint="33"/>
            <w:noWrap/>
            <w:vAlign w:val="bottom"/>
            <w:hideMark/>
          </w:tcPr>
          <w:p w14:paraId="39E4060D"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1669</w:t>
            </w:r>
          </w:p>
        </w:tc>
        <w:tc>
          <w:tcPr>
            <w:tcW w:w="0" w:type="auto"/>
            <w:shd w:val="clear" w:color="auto" w:fill="D9E2F3" w:themeFill="accent5" w:themeFillTint="33"/>
            <w:noWrap/>
            <w:vAlign w:val="bottom"/>
            <w:hideMark/>
          </w:tcPr>
          <w:p w14:paraId="7BC90413"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1597</w:t>
            </w:r>
          </w:p>
        </w:tc>
        <w:tc>
          <w:tcPr>
            <w:tcW w:w="0" w:type="auto"/>
            <w:shd w:val="clear" w:color="auto" w:fill="D9E2F3" w:themeFill="accent5" w:themeFillTint="33"/>
            <w:noWrap/>
            <w:vAlign w:val="bottom"/>
            <w:hideMark/>
          </w:tcPr>
          <w:p w14:paraId="69AE478F"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-1391</w:t>
            </w:r>
          </w:p>
        </w:tc>
        <w:tc>
          <w:tcPr>
            <w:tcW w:w="0" w:type="auto"/>
            <w:shd w:val="clear" w:color="auto" w:fill="D9E2F3" w:themeFill="accent5" w:themeFillTint="33"/>
            <w:noWrap/>
            <w:vAlign w:val="bottom"/>
            <w:hideMark/>
          </w:tcPr>
          <w:p w14:paraId="5DFC2020"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7.6</w:t>
            </w:r>
          </w:p>
        </w:tc>
        <w:tc>
          <w:tcPr>
            <w:tcW w:w="0" w:type="auto"/>
            <w:shd w:val="clear" w:color="auto" w:fill="D9E2F3" w:themeFill="accent5" w:themeFillTint="33"/>
            <w:noWrap/>
            <w:vAlign w:val="bottom"/>
            <w:hideMark/>
          </w:tcPr>
          <w:p w14:paraId="2C694A09"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-3.2</w:t>
            </w:r>
          </w:p>
        </w:tc>
      </w:tr>
      <w:tr w:rsidR="00DB542B" w:rsidRPr="000C5CA4" w14:paraId="2E3D936D" w14:textId="77777777" w:rsidTr="00DB542B">
        <w:trPr>
          <w:trHeight w:val="288"/>
        </w:trPr>
        <w:tc>
          <w:tcPr>
            <w:tcW w:w="0" w:type="auto"/>
            <w:shd w:val="clear" w:color="auto" w:fill="FFE599" w:themeFill="accent4" w:themeFillTint="66"/>
            <w:noWrap/>
            <w:vAlign w:val="bottom"/>
            <w:hideMark/>
          </w:tcPr>
          <w:p w14:paraId="5A552DA3"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2023</w:t>
            </w:r>
          </w:p>
        </w:tc>
        <w:tc>
          <w:tcPr>
            <w:tcW w:w="0" w:type="auto"/>
            <w:shd w:val="clear" w:color="auto" w:fill="FFE599" w:themeFill="accent4" w:themeFillTint="66"/>
            <w:noWrap/>
            <w:vAlign w:val="bottom"/>
            <w:hideMark/>
          </w:tcPr>
          <w:p w14:paraId="10C4AB4C"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3251</w:t>
            </w:r>
          </w:p>
        </w:tc>
        <w:tc>
          <w:tcPr>
            <w:tcW w:w="0" w:type="auto"/>
            <w:shd w:val="clear" w:color="auto" w:fill="FFE599" w:themeFill="accent4" w:themeFillTint="66"/>
            <w:noWrap/>
            <w:vAlign w:val="bottom"/>
            <w:hideMark/>
          </w:tcPr>
          <w:p w14:paraId="63EC375B"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3233</w:t>
            </w:r>
          </w:p>
        </w:tc>
        <w:tc>
          <w:tcPr>
            <w:tcW w:w="0" w:type="auto"/>
            <w:shd w:val="clear" w:color="auto" w:fill="FFE599" w:themeFill="accent4" w:themeFillTint="66"/>
            <w:noWrap/>
            <w:vAlign w:val="bottom"/>
            <w:hideMark/>
          </w:tcPr>
          <w:p w14:paraId="78149976"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1744</w:t>
            </w:r>
          </w:p>
        </w:tc>
        <w:tc>
          <w:tcPr>
            <w:tcW w:w="0" w:type="auto"/>
            <w:shd w:val="clear" w:color="auto" w:fill="FFE599" w:themeFill="accent4" w:themeFillTint="66"/>
            <w:noWrap/>
            <w:vAlign w:val="bottom"/>
            <w:hideMark/>
          </w:tcPr>
          <w:p w14:paraId="49504A4A"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1489</w:t>
            </w:r>
          </w:p>
        </w:tc>
        <w:tc>
          <w:tcPr>
            <w:tcW w:w="0" w:type="auto"/>
            <w:shd w:val="clear" w:color="auto" w:fill="FFE599" w:themeFill="accent4" w:themeFillTint="66"/>
            <w:noWrap/>
            <w:vAlign w:val="bottom"/>
            <w:hideMark/>
          </w:tcPr>
          <w:p w14:paraId="283ECDA1"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-963</w:t>
            </w:r>
          </w:p>
        </w:tc>
        <w:tc>
          <w:tcPr>
            <w:tcW w:w="0" w:type="auto"/>
            <w:shd w:val="clear" w:color="auto" w:fill="FFE599" w:themeFill="accent4" w:themeFillTint="66"/>
            <w:noWrap/>
            <w:vAlign w:val="bottom"/>
            <w:hideMark/>
          </w:tcPr>
          <w:p w14:paraId="0C635DAD"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7.5</w:t>
            </w:r>
          </w:p>
        </w:tc>
        <w:tc>
          <w:tcPr>
            <w:tcW w:w="0" w:type="auto"/>
            <w:shd w:val="clear" w:color="auto" w:fill="FFE599" w:themeFill="accent4" w:themeFillTint="66"/>
            <w:noWrap/>
            <w:vAlign w:val="bottom"/>
            <w:hideMark/>
          </w:tcPr>
          <w:p w14:paraId="5B0D7490" w14:textId="77777777" w:rsidR="00DB542B" w:rsidRPr="000C5CA4" w:rsidRDefault="00DB542B" w:rsidP="00DB542B">
            <w:pPr>
              <w:widowControl/>
              <w:tabs>
                <w:tab w:val="clear" w:pos="5103"/>
              </w:tabs>
              <w:autoSpaceDE/>
              <w:autoSpaceDN/>
              <w:spacing w:line="240" w:lineRule="auto"/>
              <w:ind w:right="0"/>
              <w:jc w:val="right"/>
              <w:rPr>
                <w:rFonts w:eastAsia="Times New Roman" w:cs="Calibri"/>
                <w:color w:val="000000"/>
                <w:sz w:val="20"/>
                <w:szCs w:val="20"/>
                <w:lang w:eastAsia="bs-Latn-BA"/>
              </w:rPr>
            </w:pPr>
            <w:r w:rsidRPr="000C5CA4">
              <w:rPr>
                <w:rFonts w:eastAsia="Times New Roman" w:cs="Calibri"/>
                <w:color w:val="000000"/>
                <w:sz w:val="20"/>
                <w:szCs w:val="20"/>
                <w:lang w:eastAsia="bs-Latn-BA"/>
              </w:rPr>
              <w:t>-2.2</w:t>
            </w:r>
          </w:p>
        </w:tc>
      </w:tr>
    </w:tbl>
    <w:p w14:paraId="3234C52B" w14:textId="7A99573C" w:rsidR="00DB542B" w:rsidRPr="000C5CA4" w:rsidRDefault="00DB542B" w:rsidP="00672AC4">
      <w:pPr>
        <w:spacing w:line="276" w:lineRule="auto"/>
        <w:rPr>
          <w:sz w:val="22"/>
          <w:szCs w:val="20"/>
        </w:rPr>
      </w:pPr>
    </w:p>
    <w:p w14:paraId="141F978B" w14:textId="77777777" w:rsidR="00DB542B" w:rsidRDefault="00DB542B" w:rsidP="00140CE9">
      <w:pPr>
        <w:spacing w:line="276" w:lineRule="auto"/>
        <w:rPr>
          <w:rFonts w:eastAsia="Times New Roman"/>
          <w:sz w:val="22"/>
          <w:szCs w:val="20"/>
          <w:lang w:eastAsia="en-GB"/>
        </w:rPr>
      </w:pPr>
      <w:r w:rsidRPr="000C5CA4">
        <w:rPr>
          <w:rFonts w:eastAsia="Times New Roman"/>
          <w:sz w:val="22"/>
          <w:szCs w:val="20"/>
          <w:lang w:eastAsia="en-GB"/>
        </w:rPr>
        <w:t>U skladu sa ciljevima definisanim Gender akcionim planom Tuzlanskog kantona, predstavnici Ministarstva zdravstva Tuzlanskog kantona su tokom izvještajnog perioda učestvovali na ukupno četiri stručna događaja (sastanka i okrugla stola) koji su se odnosili na unapređenje zdravlja, uključujući seksualno i reproduktivno zdravlje s posebnim fokusom na marginalizirane i ranjive grupe, uključujući LGBTI osobe, a naročito transrodne osobe.</w:t>
      </w:r>
    </w:p>
    <w:p w14:paraId="5F8A5372" w14:textId="77777777" w:rsidR="000C5CA4" w:rsidRPr="000C5CA4" w:rsidRDefault="000C5CA4" w:rsidP="00140CE9">
      <w:pPr>
        <w:spacing w:line="276" w:lineRule="auto"/>
        <w:rPr>
          <w:rFonts w:eastAsia="Times New Roman"/>
          <w:sz w:val="22"/>
          <w:szCs w:val="20"/>
          <w:lang w:eastAsia="en-GB"/>
        </w:rPr>
      </w:pPr>
    </w:p>
    <w:p w14:paraId="1B056C0A" w14:textId="77777777" w:rsidR="00DB542B" w:rsidRPr="000C5CA4" w:rsidRDefault="00DB542B" w:rsidP="00140CE9">
      <w:pPr>
        <w:spacing w:line="276" w:lineRule="auto"/>
        <w:rPr>
          <w:rFonts w:eastAsia="Times New Roman"/>
          <w:sz w:val="22"/>
          <w:szCs w:val="20"/>
          <w:lang w:eastAsia="en-GB"/>
        </w:rPr>
      </w:pPr>
      <w:r w:rsidRPr="000C5CA4">
        <w:rPr>
          <w:rFonts w:eastAsia="Times New Roman"/>
          <w:sz w:val="22"/>
          <w:szCs w:val="20"/>
          <w:lang w:eastAsia="en-GB"/>
        </w:rPr>
        <w:t xml:space="preserve">Dana 4. novembra 2022. godine, predstavnici Ministarstva su učestvovali na završnoj konferenciji pod nazivom </w:t>
      </w:r>
      <w:r w:rsidRPr="000C5CA4">
        <w:rPr>
          <w:rFonts w:eastAsia="Times New Roman"/>
          <w:i/>
          <w:iCs/>
          <w:sz w:val="22"/>
          <w:szCs w:val="20"/>
          <w:lang w:eastAsia="en-GB"/>
        </w:rPr>
        <w:t>„Ljudska prava transrodnih osoba između prava i medicine u BiH: stanje i mogućnosti“</w:t>
      </w:r>
      <w:r w:rsidRPr="000C5CA4">
        <w:rPr>
          <w:rFonts w:eastAsia="Times New Roman"/>
          <w:sz w:val="22"/>
          <w:szCs w:val="20"/>
          <w:lang w:eastAsia="en-GB"/>
        </w:rPr>
        <w:t xml:space="preserve">, održanoj u Sarajevu. Konferencija je realizovana u okviru projekta </w:t>
      </w:r>
      <w:r w:rsidRPr="000C5CA4">
        <w:rPr>
          <w:rFonts w:eastAsia="Times New Roman"/>
          <w:i/>
          <w:iCs/>
          <w:sz w:val="22"/>
          <w:szCs w:val="20"/>
          <w:lang w:eastAsia="en-GB"/>
        </w:rPr>
        <w:t>„Unapređenje prava i položaja transrodnih osoba u BiH“</w:t>
      </w:r>
      <w:r w:rsidRPr="000C5CA4">
        <w:rPr>
          <w:rFonts w:eastAsia="Times New Roman"/>
          <w:sz w:val="22"/>
          <w:szCs w:val="20"/>
          <w:lang w:eastAsia="en-GB"/>
        </w:rPr>
        <w:t>.</w:t>
      </w:r>
    </w:p>
    <w:p w14:paraId="2DD84BAF" w14:textId="77777777" w:rsidR="000C5CA4" w:rsidRDefault="000C5CA4" w:rsidP="00140CE9">
      <w:pPr>
        <w:spacing w:line="276" w:lineRule="auto"/>
        <w:rPr>
          <w:rFonts w:eastAsia="Times New Roman"/>
          <w:sz w:val="22"/>
          <w:szCs w:val="20"/>
          <w:lang w:eastAsia="en-GB"/>
        </w:rPr>
      </w:pPr>
    </w:p>
    <w:p w14:paraId="3A0E8C7B" w14:textId="189F2EEF" w:rsidR="00DB542B" w:rsidRPr="000C5CA4" w:rsidRDefault="00DB542B" w:rsidP="00140CE9">
      <w:pPr>
        <w:spacing w:line="276" w:lineRule="auto"/>
        <w:rPr>
          <w:rFonts w:eastAsia="Times New Roman"/>
          <w:sz w:val="22"/>
          <w:szCs w:val="20"/>
          <w:lang w:eastAsia="en-GB"/>
        </w:rPr>
      </w:pPr>
      <w:r w:rsidRPr="000C5CA4">
        <w:rPr>
          <w:rFonts w:eastAsia="Times New Roman"/>
          <w:sz w:val="22"/>
          <w:szCs w:val="20"/>
          <w:lang w:eastAsia="en-GB"/>
        </w:rPr>
        <w:t>Dana 10. i 11. juna 2022. godine, predstavnici Ministarstva zdravstva učestvovali su na radnom sastanku u organizaciji Sarajevskog otvorenog centra i zagovaračke grupe trans osoba i njihovih roditelja. Na sastanku se razmatrala izrada javnih politika koje bi omogućile pokrivanje troškova prilagodbe spola transrodnim osobama putem sistema zdravstvenog osiguranja.</w:t>
      </w:r>
      <w:r w:rsidRPr="000C5CA4">
        <w:rPr>
          <w:rFonts w:eastAsia="Times New Roman"/>
          <w:sz w:val="22"/>
          <w:szCs w:val="20"/>
          <w:lang w:eastAsia="en-GB"/>
        </w:rPr>
        <w:br/>
        <w:t>Sastanku su prisustvovali predstavnici relevantnih zdravstvenih institucija, uključujući zavode i fondove zdravstvenog osiguranja, ministarstva zdravstva s različitih nivoa vlasti i ljekarske komore.</w:t>
      </w:r>
    </w:p>
    <w:p w14:paraId="5B302426" w14:textId="77777777" w:rsidR="00DB542B" w:rsidRPr="000C5CA4" w:rsidRDefault="00DB542B" w:rsidP="00140CE9">
      <w:pPr>
        <w:spacing w:line="276" w:lineRule="auto"/>
        <w:rPr>
          <w:rFonts w:eastAsia="Times New Roman"/>
          <w:sz w:val="22"/>
          <w:szCs w:val="20"/>
          <w:lang w:eastAsia="en-GB"/>
        </w:rPr>
      </w:pPr>
      <w:r w:rsidRPr="000C5CA4">
        <w:rPr>
          <w:rFonts w:eastAsia="Times New Roman"/>
          <w:sz w:val="22"/>
          <w:szCs w:val="20"/>
          <w:lang w:eastAsia="en-GB"/>
        </w:rPr>
        <w:br/>
        <w:t xml:space="preserve">Dana 12. decembra 2023. godine, predstavnici Ministarstva su prisustvovali okruglom stolu </w:t>
      </w:r>
      <w:r w:rsidRPr="000C5CA4">
        <w:rPr>
          <w:rFonts w:eastAsia="Times New Roman"/>
          <w:i/>
          <w:iCs/>
          <w:sz w:val="22"/>
          <w:szCs w:val="20"/>
          <w:lang w:eastAsia="en-GB"/>
        </w:rPr>
        <w:t>„Pristup zdravstvenoj zaštiti za LGBTI osobe u Bosni i Hercegovini“</w:t>
      </w:r>
      <w:r w:rsidRPr="000C5CA4">
        <w:rPr>
          <w:rFonts w:eastAsia="Times New Roman"/>
          <w:sz w:val="22"/>
          <w:szCs w:val="20"/>
          <w:lang w:eastAsia="en-GB"/>
        </w:rPr>
        <w:t>, održanom u Parlamentarnoj skupštini BiH, u organizaciji Agencije za ravnopravnost spolova BiH i Odjela za seksualnu orijentaciju i rodni identitet (SOGI) Savjeta Evrope. Na ovom događaju prezentovan je preliminarni izvještaj Savjeta Evrope o pristupu LGBTI osoba zdravstvenim uslugama u BiH.</w:t>
      </w:r>
    </w:p>
    <w:p w14:paraId="60E79AFF" w14:textId="623144DC" w:rsidR="00DB542B" w:rsidRDefault="00DB542B" w:rsidP="00140CE9">
      <w:pPr>
        <w:spacing w:line="276" w:lineRule="auto"/>
        <w:rPr>
          <w:rFonts w:eastAsia="Times New Roman"/>
          <w:sz w:val="22"/>
          <w:szCs w:val="20"/>
          <w:lang w:eastAsia="en-GB"/>
        </w:rPr>
      </w:pPr>
      <w:r w:rsidRPr="000C5CA4">
        <w:rPr>
          <w:rFonts w:eastAsia="Times New Roman"/>
          <w:sz w:val="22"/>
          <w:szCs w:val="20"/>
          <w:lang w:eastAsia="en-GB"/>
        </w:rPr>
        <w:t>Ministarstvo zdravstva Tuzlanskog kantona je dopunilo izvještaj Savjeta Evrope dostavljanjem podataka o dostupnosti i primjeni HIV prevencijskih mjera, konkretno PrEP (predekspozicijska profilaksa) i PEP (postekspozicijska profilaksa), koje se provode na Klinici za infektivne bolesti JZU UKC Tuzla.</w:t>
      </w:r>
    </w:p>
    <w:p w14:paraId="67E822F6" w14:textId="77777777" w:rsidR="000C5CA4" w:rsidRPr="000C5CA4" w:rsidRDefault="000C5CA4" w:rsidP="00140CE9">
      <w:pPr>
        <w:spacing w:line="276" w:lineRule="auto"/>
        <w:rPr>
          <w:rFonts w:eastAsia="Times New Roman"/>
          <w:sz w:val="22"/>
          <w:szCs w:val="20"/>
          <w:lang w:eastAsia="en-GB"/>
        </w:rPr>
      </w:pPr>
    </w:p>
    <w:p w14:paraId="32D4FDEF" w14:textId="784DF884" w:rsidR="0096661F" w:rsidRPr="000C5CA4" w:rsidRDefault="0096661F" w:rsidP="00140CE9">
      <w:pPr>
        <w:pStyle w:val="Heading3"/>
        <w:rPr>
          <w:sz w:val="22"/>
          <w:szCs w:val="20"/>
        </w:rPr>
      </w:pPr>
      <w:bookmarkStart w:id="47" w:name="_Toc200303210"/>
      <w:r w:rsidRPr="000C5CA4">
        <w:rPr>
          <w:sz w:val="22"/>
          <w:szCs w:val="20"/>
        </w:rPr>
        <w:t>Ravnopravnost spolova u kontekstu zaštite okoliša i klimatskih promjena</w:t>
      </w:r>
      <w:bookmarkEnd w:id="47"/>
    </w:p>
    <w:p w14:paraId="6243EAA5" w14:textId="628D9E2C" w:rsidR="00190B87" w:rsidRPr="000C5CA4" w:rsidRDefault="00190B87" w:rsidP="00140CE9">
      <w:pPr>
        <w:pStyle w:val="Heading3"/>
        <w:rPr>
          <w:sz w:val="22"/>
          <w:szCs w:val="20"/>
        </w:rPr>
      </w:pPr>
    </w:p>
    <w:p w14:paraId="751D5346" w14:textId="0B82AE1F" w:rsidR="00190B87" w:rsidRPr="000C5CA4" w:rsidRDefault="00190B87" w:rsidP="00140CE9">
      <w:pPr>
        <w:spacing w:line="276" w:lineRule="auto"/>
        <w:rPr>
          <w:sz w:val="22"/>
          <w:szCs w:val="20"/>
        </w:rPr>
      </w:pPr>
      <w:r w:rsidRPr="000C5CA4">
        <w:rPr>
          <w:sz w:val="22"/>
          <w:szCs w:val="20"/>
        </w:rPr>
        <w:t xml:space="preserve">Klimatske promjene ne djeluju jednako na muškarce i žene. Zbog većeg angažmana u poljoprivredi i skrbi za domaćinstvo, žene su osjetljivije na negativne uticaje kao što su suše, </w:t>
      </w:r>
      <w:r w:rsidRPr="000C5CA4">
        <w:rPr>
          <w:sz w:val="22"/>
          <w:szCs w:val="20"/>
        </w:rPr>
        <w:lastRenderedPageBreak/>
        <w:t>poplave i nestašice resursa.</w:t>
      </w:r>
    </w:p>
    <w:p w14:paraId="2F5E9AA7" w14:textId="77777777" w:rsidR="00190B87" w:rsidRPr="000C5CA4" w:rsidRDefault="00190B87" w:rsidP="00140CE9">
      <w:pPr>
        <w:spacing w:line="276" w:lineRule="auto"/>
        <w:rPr>
          <w:sz w:val="22"/>
          <w:szCs w:val="20"/>
        </w:rPr>
      </w:pPr>
    </w:p>
    <w:p w14:paraId="011091AE" w14:textId="77777777" w:rsidR="00190B87" w:rsidRPr="000C5CA4" w:rsidRDefault="00190B87" w:rsidP="00140CE9">
      <w:pPr>
        <w:spacing w:line="276" w:lineRule="auto"/>
        <w:rPr>
          <w:sz w:val="22"/>
          <w:szCs w:val="20"/>
        </w:rPr>
      </w:pPr>
      <w:r w:rsidRPr="000C5CA4">
        <w:rPr>
          <w:sz w:val="22"/>
          <w:szCs w:val="20"/>
        </w:rPr>
        <w:t>Bosna i Hercegovina je 2000. godine ratificirala UN Okvirnu konvenciju o klimatskim promjenama (UNFCCC) i time se obavezala na rodno odgovorne klimatske politike. Kao druga zemlja na Zapadnom Balkanu, BiH je finalizirala i dostavila svoj Nacionalni plan prilagođavanja klimatskim promjenama (NAP), čime doprinosi ispunjavanju ciljeva Pariskog sporazuma i Agende 2030.</w:t>
      </w:r>
    </w:p>
    <w:p w14:paraId="73B16D64" w14:textId="77777777" w:rsidR="00190B87" w:rsidRPr="000C5CA4" w:rsidRDefault="00190B87" w:rsidP="00140CE9">
      <w:pPr>
        <w:spacing w:line="276" w:lineRule="auto"/>
        <w:rPr>
          <w:sz w:val="22"/>
          <w:szCs w:val="20"/>
        </w:rPr>
      </w:pPr>
      <w:r w:rsidRPr="000C5CA4">
        <w:rPr>
          <w:sz w:val="22"/>
          <w:szCs w:val="20"/>
        </w:rPr>
        <w:t>NAP sadrži:</w:t>
      </w:r>
    </w:p>
    <w:p w14:paraId="78BE8379" w14:textId="77777777" w:rsidR="00190B87" w:rsidRPr="000C5CA4" w:rsidRDefault="00190B87" w:rsidP="00140CE9">
      <w:pPr>
        <w:pStyle w:val="ListParagraph"/>
        <w:numPr>
          <w:ilvl w:val="0"/>
          <w:numId w:val="43"/>
        </w:numPr>
        <w:spacing w:line="276" w:lineRule="auto"/>
        <w:rPr>
          <w:sz w:val="22"/>
          <w:szCs w:val="20"/>
        </w:rPr>
      </w:pPr>
      <w:r w:rsidRPr="000C5CA4">
        <w:rPr>
          <w:sz w:val="22"/>
          <w:szCs w:val="20"/>
        </w:rPr>
        <w:t>analizu zakonodavnog okvira i klimatskih trendova,</w:t>
      </w:r>
    </w:p>
    <w:p w14:paraId="3FC69EC9" w14:textId="77777777" w:rsidR="00190B87" w:rsidRPr="000C5CA4" w:rsidRDefault="00190B87" w:rsidP="00140CE9">
      <w:pPr>
        <w:pStyle w:val="ListParagraph"/>
        <w:numPr>
          <w:ilvl w:val="0"/>
          <w:numId w:val="43"/>
        </w:numPr>
        <w:spacing w:line="276" w:lineRule="auto"/>
        <w:rPr>
          <w:sz w:val="22"/>
          <w:szCs w:val="20"/>
        </w:rPr>
      </w:pPr>
      <w:r w:rsidRPr="000C5CA4">
        <w:rPr>
          <w:sz w:val="22"/>
          <w:szCs w:val="20"/>
        </w:rPr>
        <w:t>buduće projekcije i sektorske uticaje (poljoprivreda, voda, šume, biodiverzitet, turizam),</w:t>
      </w:r>
    </w:p>
    <w:p w14:paraId="41C6592A" w14:textId="77777777" w:rsidR="00190B87" w:rsidRPr="000C5CA4" w:rsidRDefault="00190B87" w:rsidP="00140CE9">
      <w:pPr>
        <w:pStyle w:val="ListParagraph"/>
        <w:numPr>
          <w:ilvl w:val="0"/>
          <w:numId w:val="43"/>
        </w:numPr>
        <w:spacing w:line="276" w:lineRule="auto"/>
        <w:rPr>
          <w:sz w:val="22"/>
          <w:szCs w:val="20"/>
        </w:rPr>
      </w:pPr>
      <w:r w:rsidRPr="000C5CA4">
        <w:rPr>
          <w:sz w:val="22"/>
          <w:szCs w:val="20"/>
        </w:rPr>
        <w:t>prijedloge mjera za zaštitu najugroženijih sektora i grupa stanovništva.</w:t>
      </w:r>
    </w:p>
    <w:p w14:paraId="7157796B" w14:textId="77777777" w:rsidR="00190B87" w:rsidRPr="000C5CA4" w:rsidRDefault="00190B87" w:rsidP="00140CE9">
      <w:pPr>
        <w:spacing w:line="276" w:lineRule="auto"/>
        <w:rPr>
          <w:sz w:val="22"/>
          <w:szCs w:val="20"/>
        </w:rPr>
      </w:pPr>
      <w:r w:rsidRPr="000C5CA4">
        <w:rPr>
          <w:sz w:val="22"/>
          <w:szCs w:val="20"/>
        </w:rPr>
        <w:t>BiH je i potpisnica Arhuske konvencije, koja garantuje pravo na pristup informacijama, učešće javnosti i pristup pravdi u pitanjima okoliša.</w:t>
      </w:r>
    </w:p>
    <w:p w14:paraId="43DA03EB" w14:textId="77777777" w:rsidR="00190B87" w:rsidRPr="000C5CA4" w:rsidRDefault="00190B87" w:rsidP="00140CE9">
      <w:pPr>
        <w:spacing w:line="276" w:lineRule="auto"/>
        <w:rPr>
          <w:sz w:val="22"/>
          <w:szCs w:val="20"/>
        </w:rPr>
      </w:pPr>
      <w:r w:rsidRPr="000C5CA4">
        <w:rPr>
          <w:sz w:val="22"/>
          <w:szCs w:val="20"/>
        </w:rPr>
        <w:t>Tokom izrade Strategije zaštite okoliša BiH 2030+ (ESAP 2030+), prepoznato je da pitanja okoliša nisu društveno neutralna. Poseban fokus stavljen je na:</w:t>
      </w:r>
    </w:p>
    <w:p w14:paraId="1DD52690" w14:textId="77777777" w:rsidR="00190B87" w:rsidRPr="000C5CA4" w:rsidRDefault="00190B87" w:rsidP="00140CE9">
      <w:pPr>
        <w:pStyle w:val="ListParagraph"/>
        <w:numPr>
          <w:ilvl w:val="0"/>
          <w:numId w:val="44"/>
        </w:numPr>
        <w:spacing w:line="276" w:lineRule="auto"/>
        <w:rPr>
          <w:sz w:val="22"/>
          <w:szCs w:val="20"/>
        </w:rPr>
      </w:pPr>
      <w:r w:rsidRPr="000C5CA4">
        <w:rPr>
          <w:sz w:val="22"/>
          <w:szCs w:val="20"/>
        </w:rPr>
        <w:t>ravnopravnost spolova,</w:t>
      </w:r>
    </w:p>
    <w:p w14:paraId="15353423" w14:textId="77777777" w:rsidR="00190B87" w:rsidRPr="000C5CA4" w:rsidRDefault="00190B87" w:rsidP="00140CE9">
      <w:pPr>
        <w:pStyle w:val="ListParagraph"/>
        <w:numPr>
          <w:ilvl w:val="0"/>
          <w:numId w:val="44"/>
        </w:numPr>
        <w:spacing w:line="276" w:lineRule="auto"/>
        <w:rPr>
          <w:sz w:val="22"/>
          <w:szCs w:val="20"/>
        </w:rPr>
      </w:pPr>
      <w:r w:rsidRPr="000C5CA4">
        <w:rPr>
          <w:sz w:val="22"/>
          <w:szCs w:val="20"/>
        </w:rPr>
        <w:t>socijalnu pravdu,</w:t>
      </w:r>
    </w:p>
    <w:p w14:paraId="351DE3AE" w14:textId="77777777" w:rsidR="00190B87" w:rsidRPr="000C5CA4" w:rsidRDefault="00190B87" w:rsidP="00140CE9">
      <w:pPr>
        <w:pStyle w:val="ListParagraph"/>
        <w:numPr>
          <w:ilvl w:val="0"/>
          <w:numId w:val="44"/>
        </w:numPr>
        <w:spacing w:line="276" w:lineRule="auto"/>
        <w:rPr>
          <w:sz w:val="22"/>
          <w:szCs w:val="20"/>
        </w:rPr>
      </w:pPr>
      <w:r w:rsidRPr="000C5CA4">
        <w:rPr>
          <w:sz w:val="22"/>
          <w:szCs w:val="20"/>
        </w:rPr>
        <w:t>smanjenje siromaštva.</w:t>
      </w:r>
    </w:p>
    <w:p w14:paraId="5E755AAA" w14:textId="1F902B5D" w:rsidR="00190B87" w:rsidRPr="000C5CA4" w:rsidRDefault="00190B87" w:rsidP="00140CE9">
      <w:pPr>
        <w:spacing w:line="276" w:lineRule="auto"/>
        <w:rPr>
          <w:sz w:val="22"/>
          <w:szCs w:val="20"/>
        </w:rPr>
      </w:pPr>
      <w:r w:rsidRPr="000C5CA4">
        <w:rPr>
          <w:sz w:val="22"/>
          <w:szCs w:val="20"/>
        </w:rPr>
        <w:t>Rodna ravnopravnost je uključena u svih 7 akcionih planova Strategije zaštite okoliša BiH 2030+, sa ciljem da se u svim fazama upravljanja okolišem (planiranje, provođenje, evaluacija) ugrade principi ravnopravnosti, jednakosti i inkluzije. U sklopu projekta „Inkluzivna dekarbonizacija“ i drugih UNDP inicijativa, naglašava se važnost ekonomskog osnaživanja žena kroz zelenu tranziciju.</w:t>
      </w:r>
    </w:p>
    <w:p w14:paraId="78DC4E3F" w14:textId="37C81A85" w:rsidR="00190B87" w:rsidRPr="000C5CA4" w:rsidRDefault="00190B87" w:rsidP="00140CE9">
      <w:pPr>
        <w:spacing w:line="276" w:lineRule="auto"/>
        <w:rPr>
          <w:sz w:val="22"/>
          <w:szCs w:val="20"/>
        </w:rPr>
      </w:pPr>
    </w:p>
    <w:p w14:paraId="3FD8F247" w14:textId="1E49DBB7" w:rsidR="009A6AF6" w:rsidRPr="000C5CA4" w:rsidRDefault="00190B87" w:rsidP="00140CE9">
      <w:pPr>
        <w:spacing w:line="276" w:lineRule="auto"/>
        <w:rPr>
          <w:sz w:val="22"/>
          <w:szCs w:val="20"/>
        </w:rPr>
      </w:pPr>
      <w:r w:rsidRPr="000C5CA4">
        <w:rPr>
          <w:sz w:val="22"/>
          <w:szCs w:val="20"/>
        </w:rPr>
        <w:t xml:space="preserve">2023. godine </w:t>
      </w:r>
      <w:r w:rsidR="009A6AF6" w:rsidRPr="000C5CA4">
        <w:rPr>
          <w:sz w:val="22"/>
          <w:szCs w:val="20"/>
        </w:rPr>
        <w:t>Tuzlanski kanton se pridružio regionalnom projektu „Zeleni gradovi“ potpisivanjem memoranduma o razumjevanju sa Europskom bankom za obnovu i razvoj (EBRD). Cilj  je identificitrati investicijske projekte iz oblasti zelenih gradova, te osigurati primjenu metodologija koju međunarodni kreditori prepoznaju kao format, što pomaže osiguravanju investicijskih sredstava u oblasti zaštite okoliša. Također, projekti koje EBRD finansira podliježu principima inkluzivnog i rodno osjetljivog planiranja. U okviru Zelenih gradova, EBRD često zahtijeva socijalnu procjenu, koja uključuje i rodnu analizu – kako bi se osiguralo da žene i muškarci imaju jednaku korist i priliku iz novih urbanih investicija. Pridruživanje TK projektu „Zeleni gradovi“ predstavlja priliku da se ravnopravnost spolova uključi u svaki korak – od identifikacije prioriteta, preko dizajna projekata, do zapošljavanja i praćenja rezultata. Time se osigurava da zelena tranzicija ne produbljuje postojeće društvene nejednakosti, već ih aktivno smanjuje.</w:t>
      </w:r>
    </w:p>
    <w:p w14:paraId="127EAECF" w14:textId="6DD08CED" w:rsidR="009A6AF6" w:rsidRPr="000C5CA4" w:rsidRDefault="009A6AF6" w:rsidP="00140CE9">
      <w:pPr>
        <w:spacing w:line="276" w:lineRule="auto"/>
        <w:rPr>
          <w:sz w:val="22"/>
          <w:szCs w:val="20"/>
        </w:rPr>
      </w:pPr>
    </w:p>
    <w:p w14:paraId="49F5979D" w14:textId="7189A526" w:rsidR="0022617B" w:rsidRDefault="0022617B" w:rsidP="00140CE9">
      <w:pPr>
        <w:spacing w:line="276" w:lineRule="auto"/>
        <w:rPr>
          <w:sz w:val="22"/>
          <w:szCs w:val="20"/>
        </w:rPr>
      </w:pPr>
      <w:r w:rsidRPr="000C5CA4">
        <w:rPr>
          <w:sz w:val="22"/>
          <w:szCs w:val="20"/>
        </w:rPr>
        <w:t xml:space="preserve">Tuzlanski kanton se sve više okreće obnovljivim izvorima energije i zaštiti okoliša. Prva solarna elektrana u Bosni i Hercegovini instalirana je prije više od 10 godina upravo u ovom kantonu, u općini Kalesija. Od tada su uvedene i olakšice za građane koji žele postaviti solarne panele – više nije potrebna građevinska dozvola, što pojednostavljuje i pojeftinjuje cijeli proces. Važan korak je i obrazovanje novih kadrova gdje jeElektrotehnička škola u Tuzli, uz podršku Caritasa Švicarske, pokrenula novo zanimanje – monter fotonaponskih sistema. Planirana je i izgradnja male solarne elektrane u sklopu škole. Osim uštede energije, cilj je i edukacija mladih o važnosti prelaska na čiste izvore energije. Obnovljivi izvori energije i "zelena zanimanja" mogu biti prilika i za žene, koje su trenutno manje zastupljene u ovim oblastima. Potrebno je podstaći veće uključivanje djevojaka u tehnička zanimanja, ali i omogućiti ženama, posebno u ruralnim područjima, da ravnopravno učestvuju u projektima energetske efikasnosti i dobiju pristup </w:t>
      </w:r>
      <w:r w:rsidRPr="000C5CA4">
        <w:rPr>
          <w:sz w:val="22"/>
          <w:szCs w:val="20"/>
        </w:rPr>
        <w:lastRenderedPageBreak/>
        <w:t>subvencijama i informacijama.</w:t>
      </w:r>
    </w:p>
    <w:p w14:paraId="3734102B" w14:textId="77777777" w:rsidR="000C5CA4" w:rsidRPr="000C5CA4" w:rsidRDefault="000C5CA4" w:rsidP="00140CE9">
      <w:pPr>
        <w:spacing w:line="276" w:lineRule="auto"/>
        <w:rPr>
          <w:sz w:val="22"/>
          <w:szCs w:val="20"/>
        </w:rPr>
      </w:pPr>
    </w:p>
    <w:p w14:paraId="6DC62D69" w14:textId="77777777" w:rsidR="0022617B" w:rsidRPr="000C5CA4" w:rsidRDefault="0022617B" w:rsidP="00140CE9">
      <w:pPr>
        <w:spacing w:line="276" w:lineRule="auto"/>
        <w:rPr>
          <w:sz w:val="22"/>
          <w:szCs w:val="20"/>
        </w:rPr>
      </w:pPr>
      <w:r w:rsidRPr="000C5CA4">
        <w:rPr>
          <w:sz w:val="22"/>
          <w:szCs w:val="20"/>
        </w:rPr>
        <w:t>Tuzlanski kanton ima priliku da, pored razvoja zelene energije, bude primjer i u povezivanju zaštite okoliša sa socijalnom pravdom i ravnopravnošću spolova.</w:t>
      </w:r>
    </w:p>
    <w:p w14:paraId="74BB4E3D" w14:textId="77777777" w:rsidR="0022617B" w:rsidRPr="000C5CA4" w:rsidRDefault="0022617B" w:rsidP="00140CE9">
      <w:pPr>
        <w:spacing w:line="276" w:lineRule="auto"/>
        <w:rPr>
          <w:sz w:val="22"/>
          <w:szCs w:val="20"/>
        </w:rPr>
      </w:pPr>
    </w:p>
    <w:p w14:paraId="67B48A04" w14:textId="6697E000" w:rsidR="00DB542B" w:rsidRPr="000C5CA4" w:rsidRDefault="00DB542B" w:rsidP="00DB542B">
      <w:pPr>
        <w:spacing w:line="276" w:lineRule="auto"/>
        <w:rPr>
          <w:sz w:val="22"/>
          <w:szCs w:val="20"/>
        </w:rPr>
      </w:pPr>
      <w:r w:rsidRPr="000C5CA4">
        <w:rPr>
          <w:rFonts w:eastAsia="Times New Roman"/>
          <w:sz w:val="22"/>
          <w:szCs w:val="20"/>
        </w:rPr>
        <w:br w:type="page"/>
      </w:r>
    </w:p>
    <w:p w14:paraId="15B7F6E7" w14:textId="20451723" w:rsidR="00ED28FE" w:rsidRPr="000C5CA4" w:rsidRDefault="00ED28FE" w:rsidP="00672AC4">
      <w:pPr>
        <w:pStyle w:val="Heading1"/>
        <w:rPr>
          <w:sz w:val="22"/>
          <w:szCs w:val="22"/>
        </w:rPr>
      </w:pPr>
      <w:bookmarkStart w:id="48" w:name="_Toc73392279"/>
      <w:bookmarkStart w:id="49" w:name="_Toc74118443"/>
      <w:bookmarkStart w:id="50" w:name="_Toc79420470"/>
      <w:bookmarkStart w:id="51" w:name="_Toc200303211"/>
      <w:r w:rsidRPr="000C5CA4">
        <w:rPr>
          <w:sz w:val="22"/>
          <w:szCs w:val="22"/>
        </w:rPr>
        <w:lastRenderedPageBreak/>
        <w:t xml:space="preserve">Struktura Gender akcionog plana </w:t>
      </w:r>
      <w:bookmarkEnd w:id="48"/>
      <w:bookmarkEnd w:id="49"/>
      <w:r w:rsidR="004534A8" w:rsidRPr="000C5CA4">
        <w:rPr>
          <w:sz w:val="22"/>
          <w:szCs w:val="22"/>
          <w:u w:color="92D050"/>
        </w:rPr>
        <w:t>Tuzlanskog kantona</w:t>
      </w:r>
      <w:bookmarkEnd w:id="50"/>
      <w:bookmarkEnd w:id="51"/>
    </w:p>
    <w:p w14:paraId="7970BA00" w14:textId="58CF6E42" w:rsidR="003D02D9" w:rsidRPr="000C5CA4" w:rsidRDefault="00ED28FE" w:rsidP="0022617B">
      <w:pPr>
        <w:rPr>
          <w:sz w:val="22"/>
          <w:szCs w:val="20"/>
        </w:rPr>
      </w:pPr>
      <w:r w:rsidRPr="000C5CA4">
        <w:rPr>
          <w:sz w:val="22"/>
          <w:szCs w:val="20"/>
        </w:rPr>
        <w:t xml:space="preserve">U skladu sa prethodnom analizom stanja ravnopravnosti u </w:t>
      </w:r>
      <w:r w:rsidR="0022617B" w:rsidRPr="000C5CA4">
        <w:rPr>
          <w:sz w:val="22"/>
          <w:szCs w:val="20"/>
        </w:rPr>
        <w:t>K</w:t>
      </w:r>
      <w:r w:rsidRPr="000C5CA4">
        <w:rPr>
          <w:sz w:val="22"/>
          <w:szCs w:val="20"/>
        </w:rPr>
        <w:t>antonu</w:t>
      </w:r>
      <w:r w:rsidR="0022617B" w:rsidRPr="000C5CA4">
        <w:rPr>
          <w:sz w:val="22"/>
          <w:szCs w:val="20"/>
        </w:rPr>
        <w:t xml:space="preserve">, Izvještaja o provođenju Gender akcionog plana Tuzlanskog Kantona (GAP TK) za period od 2021. do 2024. godine </w:t>
      </w:r>
      <w:r w:rsidRPr="000C5CA4">
        <w:rPr>
          <w:sz w:val="22"/>
          <w:szCs w:val="20"/>
        </w:rPr>
        <w:t xml:space="preserve"> i pregleda </w:t>
      </w:r>
      <w:r w:rsidR="003D02D9" w:rsidRPr="000C5CA4">
        <w:rPr>
          <w:sz w:val="22"/>
          <w:szCs w:val="20"/>
        </w:rPr>
        <w:t xml:space="preserve">provođenja obaveza iz Zakona o ravnopravnosti spolova u Bosni i Hercegovini jasno je da donošenje Gender akcionog plana TK </w:t>
      </w:r>
      <w:r w:rsidR="0022617B" w:rsidRPr="000C5CA4">
        <w:rPr>
          <w:sz w:val="22"/>
          <w:szCs w:val="20"/>
        </w:rPr>
        <w:t xml:space="preserve">od 2025. do 2028. godine </w:t>
      </w:r>
      <w:r w:rsidR="003D02D9" w:rsidRPr="000C5CA4">
        <w:rPr>
          <w:sz w:val="22"/>
          <w:szCs w:val="20"/>
        </w:rPr>
        <w:t>predstavlja optimalan pristup za unapređenje stanja ravnopravnosti spolova.</w:t>
      </w:r>
    </w:p>
    <w:p w14:paraId="50C79166" w14:textId="77777777" w:rsidR="00F214E2" w:rsidRPr="000C5CA4" w:rsidRDefault="00F214E2" w:rsidP="00672AC4">
      <w:pPr>
        <w:spacing w:line="276" w:lineRule="auto"/>
        <w:rPr>
          <w:sz w:val="22"/>
          <w:szCs w:val="20"/>
        </w:rPr>
      </w:pPr>
    </w:p>
    <w:p w14:paraId="749C82D7" w14:textId="400DDB6C" w:rsidR="003D02D9" w:rsidRPr="000C5CA4" w:rsidRDefault="003D02D9" w:rsidP="00672AC4">
      <w:pPr>
        <w:spacing w:line="276" w:lineRule="auto"/>
        <w:rPr>
          <w:sz w:val="22"/>
          <w:szCs w:val="20"/>
        </w:rPr>
      </w:pPr>
      <w:r w:rsidRPr="000C5CA4">
        <w:rPr>
          <w:sz w:val="22"/>
          <w:szCs w:val="20"/>
        </w:rPr>
        <w:t xml:space="preserve">U odnosu na analize struktura Gender akcionog plana </w:t>
      </w:r>
      <w:r w:rsidRPr="000C5CA4">
        <w:rPr>
          <w:sz w:val="22"/>
          <w:szCs w:val="20"/>
          <w:u w:color="92D050"/>
        </w:rPr>
        <w:t xml:space="preserve">TK </w:t>
      </w:r>
      <w:r w:rsidRPr="000C5CA4">
        <w:rPr>
          <w:sz w:val="22"/>
          <w:szCs w:val="20"/>
        </w:rPr>
        <w:t>za period 202</w:t>
      </w:r>
      <w:r w:rsidR="0022617B" w:rsidRPr="000C5CA4">
        <w:rPr>
          <w:sz w:val="22"/>
          <w:szCs w:val="20"/>
        </w:rPr>
        <w:t>5</w:t>
      </w:r>
      <w:r w:rsidRPr="000C5CA4">
        <w:rPr>
          <w:sz w:val="22"/>
          <w:szCs w:val="20"/>
        </w:rPr>
        <w:t>. – 202</w:t>
      </w:r>
      <w:r w:rsidR="0022617B" w:rsidRPr="000C5CA4">
        <w:rPr>
          <w:sz w:val="22"/>
          <w:szCs w:val="20"/>
        </w:rPr>
        <w:t>8</w:t>
      </w:r>
      <w:r w:rsidRPr="000C5CA4">
        <w:rPr>
          <w:sz w:val="22"/>
          <w:szCs w:val="20"/>
        </w:rPr>
        <w:t>. godina odražava trenutno stanje ravnopravnosti spolova i institucionalizacije ravnopravnosti spolova i sadrži tri srednjeročna cilja te u okviru svakog cilja rezultate koji se planiraju postići i to:</w:t>
      </w:r>
    </w:p>
    <w:p w14:paraId="33546C9D" w14:textId="34992AD9" w:rsidR="003D02D9" w:rsidRPr="000C5CA4" w:rsidRDefault="003D02D9" w:rsidP="00D550E6">
      <w:pPr>
        <w:pStyle w:val="ListParagraph"/>
        <w:numPr>
          <w:ilvl w:val="0"/>
          <w:numId w:val="17"/>
        </w:numPr>
        <w:spacing w:line="276" w:lineRule="auto"/>
        <w:rPr>
          <w:sz w:val="22"/>
          <w:szCs w:val="20"/>
        </w:rPr>
      </w:pPr>
      <w:r w:rsidRPr="000C5CA4">
        <w:rPr>
          <w:sz w:val="22"/>
          <w:szCs w:val="20"/>
        </w:rPr>
        <w:t xml:space="preserve">Srednjeročni cilj 1. </w:t>
      </w:r>
      <w:r w:rsidRPr="000C5CA4">
        <w:rPr>
          <w:sz w:val="22"/>
          <w:szCs w:val="20"/>
          <w:u w:color="92D050"/>
        </w:rPr>
        <w:t xml:space="preserve"> </w:t>
      </w:r>
      <w:r w:rsidRPr="000C5CA4">
        <w:rPr>
          <w:sz w:val="22"/>
          <w:szCs w:val="20"/>
        </w:rPr>
        <w:t xml:space="preserve"> </w:t>
      </w:r>
      <w:r w:rsidRPr="000C5CA4">
        <w:rPr>
          <w:sz w:val="22"/>
          <w:szCs w:val="20"/>
          <w:u w:color="92D050"/>
        </w:rPr>
        <w:t xml:space="preserve">Ministarstva i </w:t>
      </w:r>
      <w:r w:rsidR="00140CE9" w:rsidRPr="000C5CA4">
        <w:rPr>
          <w:sz w:val="22"/>
          <w:szCs w:val="20"/>
          <w:u w:color="92D050"/>
        </w:rPr>
        <w:t>službe</w:t>
      </w:r>
      <w:r w:rsidRPr="000C5CA4">
        <w:rPr>
          <w:sz w:val="22"/>
          <w:szCs w:val="20"/>
        </w:rPr>
        <w:t xml:space="preserve"> djeluju za ravnopravnost spolova</w:t>
      </w:r>
    </w:p>
    <w:p w14:paraId="48D79C46" w14:textId="7297D080" w:rsidR="003D02D9" w:rsidRPr="000C5CA4" w:rsidRDefault="003D02D9" w:rsidP="00D550E6">
      <w:pPr>
        <w:pStyle w:val="ListParagraph"/>
        <w:numPr>
          <w:ilvl w:val="0"/>
          <w:numId w:val="17"/>
        </w:numPr>
        <w:spacing w:line="276" w:lineRule="auto"/>
        <w:rPr>
          <w:sz w:val="22"/>
          <w:szCs w:val="20"/>
        </w:rPr>
      </w:pPr>
      <w:r w:rsidRPr="000C5CA4">
        <w:rPr>
          <w:sz w:val="22"/>
          <w:szCs w:val="20"/>
        </w:rPr>
        <w:t xml:space="preserve">Srednjeročni cilj 2. Unaprijeđeno je stanje ravnopravnosti spolova na području </w:t>
      </w:r>
      <w:r w:rsidRPr="000C5CA4">
        <w:rPr>
          <w:sz w:val="22"/>
          <w:szCs w:val="20"/>
          <w:u w:color="92D050"/>
        </w:rPr>
        <w:t>TK</w:t>
      </w:r>
    </w:p>
    <w:p w14:paraId="12931016" w14:textId="77777777" w:rsidR="003D02D9" w:rsidRPr="000C5CA4" w:rsidRDefault="003D02D9" w:rsidP="00D550E6">
      <w:pPr>
        <w:pStyle w:val="ListParagraph"/>
        <w:numPr>
          <w:ilvl w:val="0"/>
          <w:numId w:val="17"/>
        </w:numPr>
        <w:spacing w:line="276" w:lineRule="auto"/>
        <w:rPr>
          <w:sz w:val="22"/>
          <w:szCs w:val="20"/>
        </w:rPr>
      </w:pPr>
      <w:r w:rsidRPr="000C5CA4">
        <w:rPr>
          <w:sz w:val="22"/>
          <w:szCs w:val="20"/>
        </w:rPr>
        <w:t>Srednjeročni cilj 3. Prati se stanje i sarađuje sa drugim akterima na unapređenju stanja ravnopravnosti spolova</w:t>
      </w:r>
    </w:p>
    <w:p w14:paraId="1321D7C4" w14:textId="77777777" w:rsidR="00F214E2" w:rsidRPr="000C5CA4" w:rsidRDefault="00F214E2" w:rsidP="00672AC4">
      <w:pPr>
        <w:spacing w:line="276" w:lineRule="auto"/>
        <w:rPr>
          <w:sz w:val="22"/>
          <w:szCs w:val="20"/>
        </w:rPr>
      </w:pPr>
    </w:p>
    <w:p w14:paraId="2EDCC9A0" w14:textId="41E3A8E5" w:rsidR="003D02D9" w:rsidRPr="000C5CA4" w:rsidRDefault="003D02D9" w:rsidP="00672AC4">
      <w:pPr>
        <w:spacing w:line="276" w:lineRule="auto"/>
        <w:rPr>
          <w:sz w:val="22"/>
          <w:szCs w:val="20"/>
        </w:rPr>
      </w:pPr>
      <w:r w:rsidRPr="000C5CA4">
        <w:rPr>
          <w:noProof/>
          <w:sz w:val="22"/>
          <w:szCs w:val="20"/>
          <w:lang w:eastAsia="bs-Latn-BA"/>
        </w:rPr>
        <w:drawing>
          <wp:anchor distT="0" distB="0" distL="114300" distR="114300" simplePos="0" relativeHeight="251669504" behindDoc="0" locked="0" layoutInCell="1" allowOverlap="1" wp14:anchorId="05040621" wp14:editId="3D5A8B59">
            <wp:simplePos x="0" y="0"/>
            <wp:positionH relativeFrom="margin">
              <wp:posOffset>0</wp:posOffset>
            </wp:positionH>
            <wp:positionV relativeFrom="margin">
              <wp:posOffset>4343400</wp:posOffset>
            </wp:positionV>
            <wp:extent cx="5729605" cy="4472940"/>
            <wp:effectExtent l="38100" t="19050" r="99695" b="99060"/>
            <wp:wrapSquare wrapText="bothSides"/>
            <wp:docPr id="48"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14:sizeRelH relativeFrom="margin">
              <wp14:pctWidth>0</wp14:pctWidth>
            </wp14:sizeRelH>
            <wp14:sizeRelV relativeFrom="margin">
              <wp14:pctHeight>0</wp14:pctHeight>
            </wp14:sizeRelV>
          </wp:anchor>
        </w:drawing>
      </w:r>
      <w:r w:rsidRPr="000C5CA4">
        <w:rPr>
          <w:sz w:val="22"/>
          <w:szCs w:val="20"/>
        </w:rPr>
        <w:t xml:space="preserve">Struktura Gender akcionog plana </w:t>
      </w:r>
      <w:r w:rsidRPr="000C5CA4">
        <w:rPr>
          <w:sz w:val="22"/>
          <w:szCs w:val="20"/>
          <w:u w:color="92D050"/>
        </w:rPr>
        <w:t>TK</w:t>
      </w:r>
      <w:r w:rsidRPr="000C5CA4">
        <w:rPr>
          <w:sz w:val="22"/>
          <w:szCs w:val="20"/>
        </w:rPr>
        <w:t xml:space="preserve"> je prikazana shematski ispod dok je detaljno prikazana u matrici logičkog okvira u narednom dijelu dokumenta: Ciljevi i aktivnosti Gender akcionog plana </w:t>
      </w:r>
      <w:r w:rsidRPr="000C5CA4">
        <w:rPr>
          <w:sz w:val="22"/>
          <w:szCs w:val="20"/>
          <w:u w:color="92D050"/>
        </w:rPr>
        <w:t>TK</w:t>
      </w:r>
      <w:r w:rsidRPr="000C5CA4">
        <w:rPr>
          <w:sz w:val="22"/>
          <w:szCs w:val="20"/>
        </w:rPr>
        <w:t xml:space="preserve"> za period 202</w:t>
      </w:r>
      <w:r w:rsidR="00140CE9" w:rsidRPr="000C5CA4">
        <w:rPr>
          <w:sz w:val="22"/>
          <w:szCs w:val="20"/>
        </w:rPr>
        <w:t>5. – 2028</w:t>
      </w:r>
      <w:r w:rsidRPr="000C5CA4">
        <w:rPr>
          <w:sz w:val="22"/>
          <w:szCs w:val="20"/>
        </w:rPr>
        <w:t>. godina.</w:t>
      </w:r>
    </w:p>
    <w:p w14:paraId="0D68A69C" w14:textId="3EA9A317" w:rsidR="00ED28FE" w:rsidRPr="000C5CA4" w:rsidRDefault="00ED28FE" w:rsidP="00672AC4">
      <w:pPr>
        <w:spacing w:line="276" w:lineRule="auto"/>
        <w:rPr>
          <w:sz w:val="22"/>
          <w:szCs w:val="20"/>
        </w:rPr>
        <w:sectPr w:rsidR="00ED28FE" w:rsidRPr="000C5CA4" w:rsidSect="006567BE">
          <w:type w:val="continuous"/>
          <w:pgSz w:w="11910" w:h="16840"/>
          <w:pgMar w:top="1440" w:right="1440" w:bottom="1247" w:left="1440" w:header="680" w:footer="510" w:gutter="0"/>
          <w:cols w:space="720"/>
          <w:titlePg/>
          <w:docGrid w:linePitch="299"/>
        </w:sectPr>
      </w:pPr>
    </w:p>
    <w:p w14:paraId="1596A209" w14:textId="3DFE345F" w:rsidR="0093354F" w:rsidRPr="000C5CA4" w:rsidRDefault="0093354F" w:rsidP="00672AC4">
      <w:pPr>
        <w:pStyle w:val="Heading1"/>
        <w:ind w:left="540" w:hanging="540"/>
        <w:rPr>
          <w:sz w:val="22"/>
          <w:szCs w:val="22"/>
        </w:rPr>
      </w:pPr>
      <w:bookmarkStart w:id="52" w:name="_Toc73392280"/>
      <w:bookmarkStart w:id="53" w:name="_Toc74307662"/>
      <w:bookmarkStart w:id="54" w:name="_Toc74307716"/>
      <w:bookmarkStart w:id="55" w:name="_Toc74307806"/>
      <w:bookmarkStart w:id="56" w:name="_Toc79420471"/>
      <w:bookmarkStart w:id="57" w:name="_Toc200303212"/>
      <w:r w:rsidRPr="000C5CA4">
        <w:rPr>
          <w:sz w:val="22"/>
          <w:szCs w:val="22"/>
        </w:rPr>
        <w:lastRenderedPageBreak/>
        <w:t xml:space="preserve">Ciljevi i aktivnosti Gender akcionog plana </w:t>
      </w:r>
      <w:r w:rsidRPr="000C5CA4">
        <w:rPr>
          <w:sz w:val="22"/>
          <w:szCs w:val="22"/>
          <w:u w:color="92D050"/>
        </w:rPr>
        <w:t>Tuzlanskog kantona</w:t>
      </w:r>
      <w:r w:rsidRPr="000C5CA4">
        <w:rPr>
          <w:sz w:val="22"/>
          <w:szCs w:val="22"/>
        </w:rPr>
        <w:t xml:space="preserve"> za period 202</w:t>
      </w:r>
      <w:r w:rsidR="00360FE0" w:rsidRPr="000C5CA4">
        <w:rPr>
          <w:sz w:val="22"/>
          <w:szCs w:val="22"/>
        </w:rPr>
        <w:t>5. – 2028</w:t>
      </w:r>
      <w:r w:rsidRPr="000C5CA4">
        <w:rPr>
          <w:sz w:val="22"/>
          <w:szCs w:val="22"/>
        </w:rPr>
        <w:t>. godina</w:t>
      </w:r>
      <w:bookmarkEnd w:id="52"/>
      <w:bookmarkEnd w:id="53"/>
      <w:bookmarkEnd w:id="54"/>
      <w:bookmarkEnd w:id="55"/>
      <w:bookmarkEnd w:id="56"/>
      <w:bookmarkEnd w:id="57"/>
    </w:p>
    <w:p w14:paraId="5C2BE668" w14:textId="216E20B0" w:rsidR="004C26CA" w:rsidRPr="000C5CA4" w:rsidRDefault="004C26CA" w:rsidP="004C26CA">
      <w:pPr>
        <w:pStyle w:val="Heading1"/>
        <w:numPr>
          <w:ilvl w:val="0"/>
          <w:numId w:val="0"/>
        </w:numPr>
        <w:ind w:left="761" w:hanging="720"/>
        <w:rPr>
          <w:sz w:val="22"/>
          <w:szCs w:val="22"/>
        </w:rPr>
      </w:pPr>
    </w:p>
    <w:p w14:paraId="5E732DA0" w14:textId="77777777" w:rsidR="004C26CA" w:rsidRPr="000C5CA4" w:rsidRDefault="004C26CA" w:rsidP="004C26CA">
      <w:pPr>
        <w:pStyle w:val="Heading1"/>
        <w:numPr>
          <w:ilvl w:val="0"/>
          <w:numId w:val="0"/>
        </w:numPr>
        <w:rPr>
          <w:sz w:val="22"/>
          <w:szCs w:val="22"/>
        </w:rPr>
      </w:pPr>
    </w:p>
    <w:tbl>
      <w:tblPr>
        <w:tblStyle w:val="GridTable4-Accent11"/>
        <w:tblW w:w="13793" w:type="dxa"/>
        <w:tblCellSpacing w:w="20"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Look w:val="04A0" w:firstRow="1" w:lastRow="0" w:firstColumn="1" w:lastColumn="0" w:noHBand="0" w:noVBand="1"/>
      </w:tblPr>
      <w:tblGrid>
        <w:gridCol w:w="1643"/>
        <w:gridCol w:w="1815"/>
        <w:gridCol w:w="1695"/>
        <w:gridCol w:w="1815"/>
        <w:gridCol w:w="1527"/>
        <w:gridCol w:w="1414"/>
        <w:gridCol w:w="552"/>
        <w:gridCol w:w="552"/>
        <w:gridCol w:w="552"/>
        <w:gridCol w:w="552"/>
        <w:gridCol w:w="552"/>
        <w:gridCol w:w="552"/>
        <w:gridCol w:w="572"/>
      </w:tblGrid>
      <w:tr w:rsidR="004C26CA" w:rsidRPr="000C5CA4" w14:paraId="32919125" w14:textId="77777777" w:rsidTr="00827F37">
        <w:trPr>
          <w:cnfStyle w:val="100000000000" w:firstRow="1" w:lastRow="0" w:firstColumn="0" w:lastColumn="0" w:oddVBand="0" w:evenVBand="0" w:oddHBand="0" w:evenHBand="0" w:firstRowFirstColumn="0" w:firstRowLastColumn="0" w:lastRowFirstColumn="0" w:lastRowLastColumn="0"/>
          <w:cantSplit/>
          <w:trHeight w:val="528"/>
          <w:tblHeader/>
          <w:tblCellSpacing w:w="20" w:type="dxa"/>
        </w:trPr>
        <w:tc>
          <w:tcPr>
            <w:cnfStyle w:val="001000000000" w:firstRow="0" w:lastRow="0" w:firstColumn="1" w:lastColumn="0" w:oddVBand="0" w:evenVBand="0" w:oddHBand="0" w:evenHBand="0" w:firstRowFirstColumn="0" w:firstRowLastColumn="0" w:lastRowFirstColumn="0" w:lastRowLastColumn="0"/>
            <w:tcW w:w="13713" w:type="dxa"/>
            <w:gridSpan w:val="13"/>
            <w:shd w:val="clear" w:color="auto" w:fill="2F5496" w:themeFill="accent5" w:themeFillShade="BF"/>
            <w:vAlign w:val="center"/>
          </w:tcPr>
          <w:p w14:paraId="03AA2D1E" w14:textId="77777777" w:rsidR="004C26CA" w:rsidRPr="000C5CA4" w:rsidRDefault="004C26CA" w:rsidP="00827F37">
            <w:pPr>
              <w:spacing w:line="240" w:lineRule="auto"/>
              <w:ind w:left="113"/>
              <w:jc w:val="left"/>
              <w:rPr>
                <w:rFonts w:ascii="Cambria" w:hAnsi="Cambria" w:cstheme="majorHAnsi"/>
                <w:b w:val="0"/>
                <w:sz w:val="18"/>
                <w:szCs w:val="18"/>
              </w:rPr>
            </w:pPr>
            <w:r w:rsidRPr="000C5CA4">
              <w:rPr>
                <w:rFonts w:ascii="Cambria" w:hAnsi="Cambria" w:cstheme="majorHAnsi"/>
                <w:b w:val="0"/>
                <w:sz w:val="18"/>
                <w:szCs w:val="18"/>
              </w:rPr>
              <w:t>Srednjeročni cilj 1:   Ministarstva i druga tijela vlade djeluju za ravnopravnost spolova</w:t>
            </w:r>
          </w:p>
        </w:tc>
      </w:tr>
      <w:tr w:rsidR="00934008" w:rsidRPr="000C5CA4" w14:paraId="7B068E30" w14:textId="77777777" w:rsidTr="00827F37">
        <w:trPr>
          <w:cnfStyle w:val="100000000000" w:firstRow="1" w:lastRow="0" w:firstColumn="0" w:lastColumn="0" w:oddVBand="0" w:evenVBand="0" w:oddHBand="0" w:evenHBand="0" w:firstRowFirstColumn="0" w:firstRowLastColumn="0" w:lastRowFirstColumn="0" w:lastRowLastColumn="0"/>
          <w:cantSplit/>
          <w:trHeight w:val="2363"/>
          <w:tblHeader/>
          <w:tblCellSpacing w:w="20" w:type="dxa"/>
        </w:trPr>
        <w:tc>
          <w:tcPr>
            <w:cnfStyle w:val="001000000000" w:firstRow="0" w:lastRow="0" w:firstColumn="1" w:lastColumn="0" w:oddVBand="0" w:evenVBand="0" w:oddHBand="0" w:evenHBand="0" w:firstRowFirstColumn="0" w:firstRowLastColumn="0" w:lastRowFirstColumn="0" w:lastRowLastColumn="0"/>
            <w:tcW w:w="1583" w:type="dxa"/>
            <w:shd w:val="clear" w:color="auto" w:fill="2F5496" w:themeFill="accent5" w:themeFillShade="BF"/>
            <w:vAlign w:val="center"/>
            <w:hideMark/>
          </w:tcPr>
          <w:p w14:paraId="157A0997" w14:textId="77777777" w:rsidR="004C26CA" w:rsidRPr="000C5CA4" w:rsidRDefault="004C26CA" w:rsidP="00827F37">
            <w:pPr>
              <w:spacing w:line="240" w:lineRule="auto"/>
              <w:jc w:val="center"/>
              <w:rPr>
                <w:rFonts w:ascii="Cambria" w:hAnsi="Cambria" w:cstheme="majorHAnsi"/>
                <w:b w:val="0"/>
                <w:sz w:val="18"/>
                <w:szCs w:val="18"/>
              </w:rPr>
            </w:pPr>
            <w:r w:rsidRPr="000C5CA4">
              <w:rPr>
                <w:rFonts w:ascii="Cambria" w:hAnsi="Cambria" w:cstheme="majorHAnsi"/>
                <w:b w:val="0"/>
                <w:sz w:val="18"/>
                <w:szCs w:val="18"/>
              </w:rPr>
              <w:t>Očekivani rezultat</w:t>
            </w:r>
          </w:p>
        </w:tc>
        <w:tc>
          <w:tcPr>
            <w:tcW w:w="1775" w:type="dxa"/>
            <w:shd w:val="clear" w:color="auto" w:fill="2F5496" w:themeFill="accent5" w:themeFillShade="BF"/>
            <w:vAlign w:val="center"/>
            <w:hideMark/>
          </w:tcPr>
          <w:p w14:paraId="05CEB4D5" w14:textId="77777777" w:rsidR="004C26CA" w:rsidRPr="000C5CA4" w:rsidRDefault="004C26CA" w:rsidP="00827F3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Aktivnost</w:t>
            </w:r>
          </w:p>
        </w:tc>
        <w:tc>
          <w:tcPr>
            <w:tcW w:w="1655" w:type="dxa"/>
            <w:shd w:val="clear" w:color="auto" w:fill="2F5496" w:themeFill="accent5" w:themeFillShade="BF"/>
            <w:vAlign w:val="center"/>
            <w:hideMark/>
          </w:tcPr>
          <w:p w14:paraId="65FC1416" w14:textId="77777777" w:rsidR="004C26CA" w:rsidRPr="000C5CA4" w:rsidRDefault="004C26CA" w:rsidP="00827F3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Nosilac odgovornosti</w:t>
            </w:r>
          </w:p>
        </w:tc>
        <w:tc>
          <w:tcPr>
            <w:tcW w:w="1775" w:type="dxa"/>
            <w:shd w:val="clear" w:color="auto" w:fill="2F5496" w:themeFill="accent5" w:themeFillShade="BF"/>
            <w:vAlign w:val="center"/>
            <w:hideMark/>
          </w:tcPr>
          <w:p w14:paraId="129B7F7D" w14:textId="77777777" w:rsidR="004C26CA" w:rsidRPr="000C5CA4" w:rsidRDefault="004C26CA" w:rsidP="00827F3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Pokazatelj napretka u odnosu na početno stanje</w:t>
            </w:r>
          </w:p>
        </w:tc>
        <w:tc>
          <w:tcPr>
            <w:tcW w:w="1487" w:type="dxa"/>
            <w:shd w:val="clear" w:color="auto" w:fill="2F5496" w:themeFill="accent5" w:themeFillShade="BF"/>
            <w:textDirection w:val="btLr"/>
            <w:vAlign w:val="center"/>
            <w:hideMark/>
          </w:tcPr>
          <w:p w14:paraId="72769CAC"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Rok</w:t>
            </w:r>
          </w:p>
        </w:tc>
        <w:tc>
          <w:tcPr>
            <w:tcW w:w="1374" w:type="dxa"/>
            <w:shd w:val="clear" w:color="auto" w:fill="2F5496" w:themeFill="accent5" w:themeFillShade="BF"/>
            <w:textDirection w:val="btLr"/>
            <w:vAlign w:val="center"/>
            <w:hideMark/>
          </w:tcPr>
          <w:p w14:paraId="4B657083"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Izvor finansiranja</w:t>
            </w:r>
          </w:p>
        </w:tc>
        <w:tc>
          <w:tcPr>
            <w:tcW w:w="512" w:type="dxa"/>
            <w:shd w:val="clear" w:color="auto" w:fill="2F5496" w:themeFill="accent5" w:themeFillShade="BF"/>
            <w:textDirection w:val="btLr"/>
            <w:vAlign w:val="center"/>
          </w:tcPr>
          <w:p w14:paraId="0D9A3F83"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Napredak do kraja 2025.</w:t>
            </w:r>
          </w:p>
        </w:tc>
        <w:tc>
          <w:tcPr>
            <w:tcW w:w="512" w:type="dxa"/>
            <w:shd w:val="clear" w:color="auto" w:fill="2F5496" w:themeFill="accent5" w:themeFillShade="BF"/>
            <w:textDirection w:val="btLr"/>
            <w:vAlign w:val="center"/>
          </w:tcPr>
          <w:p w14:paraId="718349F9"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Napredak do kraja 2026</w:t>
            </w:r>
          </w:p>
        </w:tc>
        <w:tc>
          <w:tcPr>
            <w:tcW w:w="512" w:type="dxa"/>
            <w:shd w:val="clear" w:color="auto" w:fill="2F5496" w:themeFill="accent5" w:themeFillShade="BF"/>
            <w:textDirection w:val="btLr"/>
            <w:vAlign w:val="center"/>
          </w:tcPr>
          <w:p w14:paraId="54B9B6F0"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Napredak do kraja 2027.</w:t>
            </w:r>
          </w:p>
        </w:tc>
        <w:tc>
          <w:tcPr>
            <w:tcW w:w="512" w:type="dxa"/>
            <w:shd w:val="clear" w:color="auto" w:fill="2F5496" w:themeFill="accent5" w:themeFillShade="BF"/>
            <w:textDirection w:val="btLr"/>
            <w:vAlign w:val="center"/>
          </w:tcPr>
          <w:p w14:paraId="73ABFB29"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N Napredak do kraja 2028.</w:t>
            </w:r>
          </w:p>
        </w:tc>
        <w:tc>
          <w:tcPr>
            <w:tcW w:w="512" w:type="dxa"/>
            <w:shd w:val="clear" w:color="auto" w:fill="2F5496" w:themeFill="accent5" w:themeFillShade="BF"/>
            <w:textDirection w:val="btLr"/>
            <w:vAlign w:val="center"/>
          </w:tcPr>
          <w:p w14:paraId="27CF5C44"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Planirani troškovi u BAM</w:t>
            </w:r>
          </w:p>
        </w:tc>
        <w:tc>
          <w:tcPr>
            <w:tcW w:w="512" w:type="dxa"/>
            <w:shd w:val="clear" w:color="auto" w:fill="2F5496" w:themeFill="accent5" w:themeFillShade="BF"/>
            <w:textDirection w:val="btLr"/>
            <w:vAlign w:val="center"/>
          </w:tcPr>
          <w:p w14:paraId="591366A8"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Krajnji korisnici po spolu</w:t>
            </w:r>
          </w:p>
        </w:tc>
        <w:tc>
          <w:tcPr>
            <w:tcW w:w="512" w:type="dxa"/>
            <w:shd w:val="clear" w:color="auto" w:fill="2F5496" w:themeFill="accent5" w:themeFillShade="BF"/>
            <w:textDirection w:val="btLr"/>
            <w:vAlign w:val="center"/>
          </w:tcPr>
          <w:p w14:paraId="58561F95"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0C5CA4">
              <w:rPr>
                <w:rFonts w:ascii="Cambria" w:hAnsi="Cambria" w:cstheme="majorHAnsi"/>
                <w:b w:val="0"/>
                <w:sz w:val="18"/>
                <w:szCs w:val="18"/>
              </w:rPr>
              <w:t>Izvor verifikacije</w:t>
            </w:r>
          </w:p>
        </w:tc>
      </w:tr>
      <w:tr w:rsidR="001A3F82" w:rsidRPr="000C5CA4" w14:paraId="14D97BB0" w14:textId="77777777" w:rsidTr="00827F37">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val="restart"/>
            <w:vAlign w:val="center"/>
          </w:tcPr>
          <w:p w14:paraId="4589B954" w14:textId="39037F75" w:rsidR="004C26CA" w:rsidRPr="000C5CA4" w:rsidRDefault="004C26CA" w:rsidP="00827F37">
            <w:pPr>
              <w:pStyle w:val="Heading4"/>
              <w:spacing w:line="240" w:lineRule="auto"/>
              <w:outlineLvl w:val="3"/>
              <w:rPr>
                <w:rFonts w:ascii="Cambria" w:hAnsi="Cambria" w:cstheme="majorHAnsi"/>
                <w:i/>
                <w:iCs/>
                <w:color w:val="404040" w:themeColor="text1" w:themeTint="BF"/>
                <w:szCs w:val="18"/>
              </w:rPr>
            </w:pPr>
            <w:r w:rsidRPr="000C5CA4">
              <w:rPr>
                <w:rFonts w:ascii="Cambria" w:hAnsi="Cambria" w:cstheme="majorHAnsi"/>
                <w:szCs w:val="18"/>
              </w:rPr>
              <w:t xml:space="preserve">1.1. </w:t>
            </w:r>
            <w:r w:rsidR="00934008">
              <w:rPr>
                <w:rFonts w:ascii="Cambria" w:hAnsi="Cambria" w:cstheme="majorHAnsi"/>
                <w:szCs w:val="18"/>
              </w:rPr>
              <w:t>Uspostavljanje i r</w:t>
            </w:r>
            <w:r w:rsidRPr="000C5CA4">
              <w:rPr>
                <w:rFonts w:ascii="Cambria" w:hAnsi="Cambria" w:cstheme="majorHAnsi"/>
                <w:szCs w:val="18"/>
              </w:rPr>
              <w:t>ad kantonalnog koordinacionog odbora za praćenje Gender akcionog plana</w:t>
            </w:r>
          </w:p>
        </w:tc>
        <w:tc>
          <w:tcPr>
            <w:tcW w:w="1775" w:type="dxa"/>
            <w:vAlign w:val="center"/>
          </w:tcPr>
          <w:p w14:paraId="4F97A8F3" w14:textId="042E0D1A" w:rsidR="004C26CA" w:rsidRPr="000C5CA4" w:rsidRDefault="004C26CA" w:rsidP="00827F3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 xml:space="preserve">Analiza </w:t>
            </w:r>
            <w:r w:rsidR="00934008">
              <w:rPr>
                <w:rFonts w:ascii="Cambria" w:hAnsi="Cambria" w:cstheme="majorHAnsi"/>
                <w:sz w:val="18"/>
                <w:szCs w:val="18"/>
              </w:rPr>
              <w:t>realizacije</w:t>
            </w:r>
            <w:r w:rsidRPr="000C5CA4">
              <w:rPr>
                <w:rFonts w:ascii="Cambria" w:hAnsi="Cambria" w:cstheme="majorHAnsi"/>
                <w:sz w:val="18"/>
                <w:szCs w:val="18"/>
              </w:rPr>
              <w:t xml:space="preserve"> GAP 2021-2024</w:t>
            </w:r>
            <w:r w:rsidR="00934008">
              <w:rPr>
                <w:rFonts w:ascii="Cambria" w:hAnsi="Cambria" w:cstheme="majorHAnsi"/>
                <w:sz w:val="18"/>
                <w:szCs w:val="18"/>
              </w:rPr>
              <w:t xml:space="preserve">. </w:t>
            </w:r>
          </w:p>
        </w:tc>
        <w:tc>
          <w:tcPr>
            <w:tcW w:w="1655" w:type="dxa"/>
            <w:vAlign w:val="center"/>
          </w:tcPr>
          <w:p w14:paraId="08395F87" w14:textId="748B8FDF" w:rsidR="004C26CA" w:rsidRPr="000C5CA4" w:rsidRDefault="00934008" w:rsidP="00827F3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934008">
              <w:rPr>
                <w:rFonts w:ascii="Cambria" w:hAnsi="Cambria" w:cstheme="majorHAnsi"/>
                <w:sz w:val="18"/>
                <w:szCs w:val="18"/>
              </w:rPr>
              <w:t>Koordinacioni odbor</w:t>
            </w:r>
          </w:p>
        </w:tc>
        <w:tc>
          <w:tcPr>
            <w:tcW w:w="1775" w:type="dxa"/>
            <w:vAlign w:val="center"/>
          </w:tcPr>
          <w:p w14:paraId="1C126B14" w14:textId="46E610D8" w:rsidR="004C26CA" w:rsidRPr="000C5CA4" w:rsidRDefault="00934008" w:rsidP="00827F3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Zapisnik</w:t>
            </w:r>
          </w:p>
        </w:tc>
        <w:tc>
          <w:tcPr>
            <w:tcW w:w="1487" w:type="dxa"/>
            <w:textDirection w:val="btLr"/>
            <w:vAlign w:val="center"/>
          </w:tcPr>
          <w:p w14:paraId="09A2981D"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Mjesec dana od usvajanja</w:t>
            </w:r>
          </w:p>
        </w:tc>
        <w:tc>
          <w:tcPr>
            <w:tcW w:w="1374" w:type="dxa"/>
            <w:textDirection w:val="btLr"/>
            <w:vAlign w:val="center"/>
          </w:tcPr>
          <w:p w14:paraId="3DB24CB4"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Redovna sredstva</w:t>
            </w:r>
          </w:p>
        </w:tc>
        <w:tc>
          <w:tcPr>
            <w:tcW w:w="512" w:type="dxa"/>
            <w:textDirection w:val="btLr"/>
            <w:vAlign w:val="center"/>
          </w:tcPr>
          <w:p w14:paraId="7C3569C2" w14:textId="032101A5" w:rsidR="004C26CA" w:rsidRPr="000C5CA4" w:rsidRDefault="00934008"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2827258C"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0D83F42"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2FF80D3"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1EFDDAD3"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BC08A29"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481063E"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r>
      <w:tr w:rsidR="004C26CA" w:rsidRPr="000C5CA4" w14:paraId="2764BAE6" w14:textId="77777777" w:rsidTr="00827F37">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766AD43E" w14:textId="77777777" w:rsidR="004C26CA" w:rsidRPr="000C5CA4" w:rsidRDefault="004C26CA" w:rsidP="00827F37">
            <w:pPr>
              <w:pStyle w:val="Heading4"/>
              <w:spacing w:line="240" w:lineRule="auto"/>
              <w:outlineLvl w:val="3"/>
              <w:rPr>
                <w:rFonts w:ascii="Cambria" w:hAnsi="Cambria" w:cstheme="majorHAnsi"/>
                <w:smallCaps/>
                <w:szCs w:val="18"/>
              </w:rPr>
            </w:pPr>
          </w:p>
        </w:tc>
        <w:tc>
          <w:tcPr>
            <w:tcW w:w="1775" w:type="dxa"/>
            <w:vAlign w:val="center"/>
          </w:tcPr>
          <w:p w14:paraId="7B5D4F66" w14:textId="77777777" w:rsidR="004C26CA" w:rsidRPr="000C5CA4" w:rsidRDefault="004C26CA" w:rsidP="00827F3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Usvajanje izvještaja o radu</w:t>
            </w:r>
          </w:p>
        </w:tc>
        <w:tc>
          <w:tcPr>
            <w:tcW w:w="1655" w:type="dxa"/>
            <w:vAlign w:val="center"/>
          </w:tcPr>
          <w:p w14:paraId="45BBE614" w14:textId="77777777" w:rsidR="004C26CA" w:rsidRPr="000C5CA4" w:rsidRDefault="004C26CA" w:rsidP="00827F3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Vlada na prijedlog Ministarstvo rada i socijalne politike</w:t>
            </w:r>
          </w:p>
        </w:tc>
        <w:tc>
          <w:tcPr>
            <w:tcW w:w="1775" w:type="dxa"/>
            <w:vAlign w:val="center"/>
          </w:tcPr>
          <w:p w14:paraId="54766801" w14:textId="77777777" w:rsidR="004C26CA" w:rsidRPr="000C5CA4" w:rsidRDefault="004C26CA" w:rsidP="00827F3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1487" w:type="dxa"/>
            <w:textDirection w:val="btLr"/>
            <w:vAlign w:val="center"/>
          </w:tcPr>
          <w:p w14:paraId="5D80C6ED"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Mjesec dana od usvajanja</w:t>
            </w:r>
          </w:p>
        </w:tc>
        <w:tc>
          <w:tcPr>
            <w:tcW w:w="1374" w:type="dxa"/>
            <w:textDirection w:val="btLr"/>
            <w:vAlign w:val="center"/>
          </w:tcPr>
          <w:p w14:paraId="305C66C3"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Redovna sredstva</w:t>
            </w:r>
          </w:p>
        </w:tc>
        <w:tc>
          <w:tcPr>
            <w:tcW w:w="512" w:type="dxa"/>
            <w:textDirection w:val="btLr"/>
            <w:vAlign w:val="center"/>
          </w:tcPr>
          <w:p w14:paraId="63DF198F" w14:textId="2448BBE2" w:rsidR="004C26CA" w:rsidRPr="000C5CA4" w:rsidRDefault="00934008"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00E4712C"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56D65FE0"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9290BBC"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6B41E2A"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6F5F645"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14F573B6"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r>
      <w:tr w:rsidR="001A3F82" w:rsidRPr="000C5CA4" w14:paraId="21ED0751" w14:textId="77777777" w:rsidTr="00934008">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5E62E2B8" w14:textId="77777777" w:rsidR="004C26CA" w:rsidRPr="000C5CA4" w:rsidRDefault="004C26CA" w:rsidP="00827F37">
            <w:pPr>
              <w:pStyle w:val="Heading4"/>
              <w:spacing w:line="240" w:lineRule="auto"/>
              <w:outlineLvl w:val="3"/>
              <w:rPr>
                <w:rFonts w:ascii="Cambria" w:hAnsi="Cambria" w:cstheme="majorHAnsi"/>
                <w:smallCaps/>
                <w:szCs w:val="18"/>
              </w:rPr>
            </w:pPr>
          </w:p>
        </w:tc>
        <w:tc>
          <w:tcPr>
            <w:tcW w:w="1775" w:type="dxa"/>
            <w:vAlign w:val="center"/>
          </w:tcPr>
          <w:p w14:paraId="12A08C88" w14:textId="524B8A49" w:rsidR="004C26CA" w:rsidRPr="000C5CA4" w:rsidRDefault="004C26CA" w:rsidP="00827F3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1655" w:type="dxa"/>
            <w:vAlign w:val="center"/>
          </w:tcPr>
          <w:p w14:paraId="343BEF29" w14:textId="63E48EEA" w:rsidR="004C26CA" w:rsidRPr="000C5CA4" w:rsidRDefault="004C26CA" w:rsidP="00827F3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1775" w:type="dxa"/>
            <w:vAlign w:val="center"/>
          </w:tcPr>
          <w:p w14:paraId="7A52C2BF" w14:textId="03F4DD90" w:rsidR="004C26CA" w:rsidRPr="000C5CA4" w:rsidRDefault="004C26CA" w:rsidP="00827F3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1487" w:type="dxa"/>
            <w:textDirection w:val="btLr"/>
            <w:vAlign w:val="center"/>
          </w:tcPr>
          <w:p w14:paraId="540604D5" w14:textId="27BC7583"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1374" w:type="dxa"/>
            <w:textDirection w:val="btLr"/>
            <w:vAlign w:val="center"/>
          </w:tcPr>
          <w:p w14:paraId="05F44B81" w14:textId="6EA76AE3"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vAlign w:val="center"/>
          </w:tcPr>
          <w:p w14:paraId="08014B77" w14:textId="29E91A6C" w:rsidR="004C26CA" w:rsidRPr="000C5CA4" w:rsidRDefault="004C26CA" w:rsidP="0093400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vAlign w:val="center"/>
          </w:tcPr>
          <w:p w14:paraId="34B8BF2A" w14:textId="34C6EF79" w:rsidR="004C26CA" w:rsidRPr="000C5CA4" w:rsidRDefault="00934008" w:rsidP="0093400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vAlign w:val="center"/>
          </w:tcPr>
          <w:p w14:paraId="2E8A8B2C" w14:textId="5288F833" w:rsidR="004C26CA" w:rsidRPr="000C5CA4" w:rsidRDefault="00934008" w:rsidP="0093400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vAlign w:val="center"/>
          </w:tcPr>
          <w:p w14:paraId="1409D374" w14:textId="74DCF809" w:rsidR="004C26CA" w:rsidRPr="000C5CA4" w:rsidRDefault="00934008" w:rsidP="0093400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5801D305"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59094467"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5391F83C"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r>
      <w:tr w:rsidR="004C26CA" w:rsidRPr="000C5CA4" w14:paraId="11A659EA" w14:textId="77777777" w:rsidTr="00827F37">
        <w:trPr>
          <w:cantSplit/>
          <w:trHeight w:val="2060"/>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1D3E6906" w14:textId="77777777" w:rsidR="004C26CA" w:rsidRPr="000C5CA4" w:rsidRDefault="004C26CA" w:rsidP="00827F37">
            <w:pPr>
              <w:pStyle w:val="Heading4"/>
              <w:spacing w:line="240" w:lineRule="auto"/>
              <w:outlineLvl w:val="3"/>
              <w:rPr>
                <w:rFonts w:ascii="Cambria" w:hAnsi="Cambria" w:cstheme="majorHAnsi"/>
                <w:smallCaps/>
                <w:szCs w:val="18"/>
              </w:rPr>
            </w:pPr>
          </w:p>
        </w:tc>
        <w:tc>
          <w:tcPr>
            <w:tcW w:w="1775" w:type="dxa"/>
            <w:vAlign w:val="center"/>
          </w:tcPr>
          <w:p w14:paraId="7E4FC04D" w14:textId="77777777" w:rsidR="004C26CA" w:rsidRPr="000C5CA4" w:rsidRDefault="004C26CA" w:rsidP="00827F3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Revidiran i unaprijeđen plan za praćenje, evaluaciju i izvještavanje o primjeni Gender akcionog plana TK</w:t>
            </w:r>
          </w:p>
        </w:tc>
        <w:tc>
          <w:tcPr>
            <w:tcW w:w="1655" w:type="dxa"/>
            <w:vAlign w:val="center"/>
          </w:tcPr>
          <w:p w14:paraId="549141DB" w14:textId="77777777" w:rsidR="004C26CA" w:rsidRPr="000C5CA4" w:rsidRDefault="004C26CA" w:rsidP="00827F3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Koordinacioni odbor</w:t>
            </w:r>
          </w:p>
        </w:tc>
        <w:tc>
          <w:tcPr>
            <w:tcW w:w="1775" w:type="dxa"/>
            <w:vAlign w:val="center"/>
          </w:tcPr>
          <w:p w14:paraId="6398605F" w14:textId="77777777" w:rsidR="004C26CA" w:rsidRPr="000C5CA4" w:rsidRDefault="004C26CA" w:rsidP="00827F3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Analizirani eventualni problemi i predložene izmjene</w:t>
            </w:r>
          </w:p>
        </w:tc>
        <w:tc>
          <w:tcPr>
            <w:tcW w:w="1487" w:type="dxa"/>
            <w:textDirection w:val="btLr"/>
            <w:vAlign w:val="center"/>
          </w:tcPr>
          <w:p w14:paraId="67B61957"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1374" w:type="dxa"/>
            <w:textDirection w:val="btLr"/>
            <w:vAlign w:val="center"/>
          </w:tcPr>
          <w:p w14:paraId="4FF70FF9"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Redovna sredstva i partnerstvo</w:t>
            </w:r>
          </w:p>
        </w:tc>
        <w:tc>
          <w:tcPr>
            <w:tcW w:w="512" w:type="dxa"/>
            <w:textDirection w:val="btLr"/>
            <w:vAlign w:val="center"/>
          </w:tcPr>
          <w:p w14:paraId="542C967A" w14:textId="7CE88349"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4D95AA0D" w14:textId="7F0193EE" w:rsidR="004C26CA" w:rsidRPr="000C5CA4" w:rsidRDefault="00934008"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01A98580"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5F732BA2"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605DBF2A"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77BA759"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2DCFA2D4"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r>
      <w:tr w:rsidR="001A3F82" w:rsidRPr="000C5CA4" w14:paraId="7992E063" w14:textId="77777777" w:rsidTr="003337E6">
        <w:trPr>
          <w:cnfStyle w:val="000000100000" w:firstRow="0" w:lastRow="0" w:firstColumn="0" w:lastColumn="0" w:oddVBand="0" w:evenVBand="0" w:oddHBand="1" w:evenHBand="0" w:firstRowFirstColumn="0" w:firstRowLastColumn="0" w:lastRowFirstColumn="0" w:lastRowLastColumn="0"/>
          <w:cantSplit/>
          <w:trHeight w:val="2038"/>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val="restart"/>
            <w:vAlign w:val="center"/>
            <w:hideMark/>
          </w:tcPr>
          <w:p w14:paraId="35D410A5" w14:textId="77777777" w:rsidR="004C26CA" w:rsidRPr="000C5CA4" w:rsidRDefault="004C26CA" w:rsidP="003337E6">
            <w:pPr>
              <w:pStyle w:val="Heading4"/>
              <w:spacing w:line="240" w:lineRule="auto"/>
              <w:outlineLvl w:val="3"/>
              <w:rPr>
                <w:rFonts w:ascii="Cambria" w:hAnsi="Cambria" w:cstheme="majorHAnsi"/>
                <w:i/>
                <w:iCs/>
                <w:color w:val="404040" w:themeColor="text1" w:themeTint="BF"/>
                <w:szCs w:val="18"/>
              </w:rPr>
            </w:pPr>
            <w:r w:rsidRPr="000C5CA4">
              <w:rPr>
                <w:rFonts w:ascii="Cambria" w:hAnsi="Cambria" w:cstheme="majorHAnsi"/>
                <w:szCs w:val="18"/>
              </w:rPr>
              <w:t>1.2. Kapaciteti koordinacionog odbora unaprijeđeni</w:t>
            </w:r>
          </w:p>
        </w:tc>
        <w:tc>
          <w:tcPr>
            <w:tcW w:w="1775" w:type="dxa"/>
            <w:vAlign w:val="center"/>
          </w:tcPr>
          <w:p w14:paraId="238F4AFB" w14:textId="77777777" w:rsidR="004C26CA" w:rsidRPr="000C5CA4" w:rsidRDefault="004C26CA" w:rsidP="003337E6">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Održavanje redovnih sastanaka Koordinacionog odbora</w:t>
            </w:r>
          </w:p>
        </w:tc>
        <w:tc>
          <w:tcPr>
            <w:tcW w:w="1655" w:type="dxa"/>
            <w:vAlign w:val="center"/>
          </w:tcPr>
          <w:p w14:paraId="4B3C4C22" w14:textId="77777777" w:rsidR="004C26CA" w:rsidRPr="000C5CA4" w:rsidRDefault="004C26CA" w:rsidP="003337E6">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w:t>
            </w:r>
          </w:p>
        </w:tc>
        <w:tc>
          <w:tcPr>
            <w:tcW w:w="1775" w:type="dxa"/>
            <w:vAlign w:val="center"/>
          </w:tcPr>
          <w:p w14:paraId="6341A318" w14:textId="77777777" w:rsidR="004C26CA" w:rsidRPr="000C5CA4" w:rsidRDefault="004C26CA" w:rsidP="003337E6">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Zapisnici sa sastanka</w:t>
            </w:r>
          </w:p>
        </w:tc>
        <w:tc>
          <w:tcPr>
            <w:tcW w:w="1487" w:type="dxa"/>
            <w:vAlign w:val="center"/>
          </w:tcPr>
          <w:p w14:paraId="681ABB63" w14:textId="4A0EA304" w:rsidR="004C26CA" w:rsidRPr="000C5CA4" w:rsidRDefault="003337E6" w:rsidP="003337E6">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Kontinuirano</w:t>
            </w:r>
          </w:p>
        </w:tc>
        <w:tc>
          <w:tcPr>
            <w:tcW w:w="1374" w:type="dxa"/>
            <w:vAlign w:val="center"/>
          </w:tcPr>
          <w:p w14:paraId="6493C5D7" w14:textId="77777777" w:rsidR="004C26CA" w:rsidRPr="000C5CA4" w:rsidRDefault="004C26CA" w:rsidP="003337E6">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12" w:type="dxa"/>
            <w:textDirection w:val="btLr"/>
            <w:vAlign w:val="center"/>
          </w:tcPr>
          <w:p w14:paraId="1419B322" w14:textId="785BDC98" w:rsidR="004C26CA" w:rsidRPr="000C5CA4" w:rsidRDefault="003337E6" w:rsidP="003337E6">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38F9D3A7" w14:textId="404FE1CC" w:rsidR="004C26CA" w:rsidRPr="000C5CA4" w:rsidRDefault="003337E6" w:rsidP="003337E6">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63397F43" w14:textId="78BAF1D4" w:rsidR="004C26CA" w:rsidRPr="000C5CA4" w:rsidRDefault="003337E6" w:rsidP="003337E6">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2FD42620" w14:textId="34F87BE9" w:rsidR="004C26CA" w:rsidRPr="000C5CA4" w:rsidRDefault="003337E6" w:rsidP="003337E6">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78C76BF8" w14:textId="6F222F1F"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1585FAD6" w14:textId="0D76AD3A"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4FF4B364" w14:textId="1CE05261"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r>
      <w:tr w:rsidR="004C26CA" w:rsidRPr="000C5CA4" w14:paraId="64DCC8AC" w14:textId="77777777" w:rsidTr="00827F37">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12B726BC" w14:textId="77777777" w:rsidR="004C26CA" w:rsidRPr="000C5CA4" w:rsidRDefault="004C26CA" w:rsidP="00827F37">
            <w:pPr>
              <w:pStyle w:val="Heading4"/>
              <w:spacing w:line="240" w:lineRule="auto"/>
              <w:outlineLvl w:val="3"/>
              <w:rPr>
                <w:rFonts w:ascii="Cambria" w:hAnsi="Cambria" w:cstheme="majorHAnsi"/>
                <w:smallCaps/>
                <w:szCs w:val="18"/>
              </w:rPr>
            </w:pPr>
          </w:p>
        </w:tc>
        <w:tc>
          <w:tcPr>
            <w:tcW w:w="1775" w:type="dxa"/>
          </w:tcPr>
          <w:p w14:paraId="1755BC03"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Izrada i primjena digitalne platforme za monitoring aktivnosti GAPa</w:t>
            </w:r>
          </w:p>
        </w:tc>
        <w:tc>
          <w:tcPr>
            <w:tcW w:w="1655" w:type="dxa"/>
          </w:tcPr>
          <w:p w14:paraId="4F1A7E07"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 Ministarstvo za rad, socijalnu politiku i povratak, Ministarstvo pravosuđa i uprave, IT sektor</w:t>
            </w:r>
          </w:p>
        </w:tc>
        <w:tc>
          <w:tcPr>
            <w:tcW w:w="1775" w:type="dxa"/>
          </w:tcPr>
          <w:p w14:paraId="4661C290"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Funkcionalna platforma koja se koristi u svim institucijama TK</w:t>
            </w:r>
          </w:p>
        </w:tc>
        <w:tc>
          <w:tcPr>
            <w:tcW w:w="1487" w:type="dxa"/>
          </w:tcPr>
          <w:p w14:paraId="2F71D6FF" w14:textId="17E88356" w:rsidR="004C26CA" w:rsidRPr="000C5CA4" w:rsidRDefault="003337E6"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Kontinuirano</w:t>
            </w:r>
          </w:p>
        </w:tc>
        <w:tc>
          <w:tcPr>
            <w:tcW w:w="1374" w:type="dxa"/>
          </w:tcPr>
          <w:p w14:paraId="3D51AF75"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Izrada i primjena digitalne platforme za monitoring aktivnosti GAPa</w:t>
            </w:r>
          </w:p>
        </w:tc>
        <w:tc>
          <w:tcPr>
            <w:tcW w:w="512" w:type="dxa"/>
            <w:textDirection w:val="btLr"/>
            <w:vAlign w:val="center"/>
          </w:tcPr>
          <w:p w14:paraId="01C4E58A" w14:textId="4E033C8E" w:rsidR="004C26CA" w:rsidRPr="000C5CA4" w:rsidRDefault="003337E6"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79A67DED" w14:textId="6D36E3E8" w:rsidR="004C26CA" w:rsidRPr="000C5CA4" w:rsidRDefault="003337E6"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0339E00B" w14:textId="6DD230B1" w:rsidR="004C26CA" w:rsidRPr="000C5CA4" w:rsidRDefault="003337E6"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5E54C29D" w14:textId="33A2E86B" w:rsidR="004C26CA" w:rsidRPr="000C5CA4" w:rsidRDefault="003337E6"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74BAD8DA"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F1E0F8B"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F471425"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r>
      <w:tr w:rsidR="001A3F82" w:rsidRPr="000C5CA4" w14:paraId="230B7539" w14:textId="77777777" w:rsidTr="001A3F82">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050B6ACB" w14:textId="77777777" w:rsidR="004C26CA" w:rsidRPr="000C5CA4" w:rsidRDefault="004C26CA" w:rsidP="00827F37">
            <w:pPr>
              <w:pStyle w:val="Heading4"/>
              <w:spacing w:line="240" w:lineRule="auto"/>
              <w:outlineLvl w:val="3"/>
              <w:rPr>
                <w:rFonts w:ascii="Cambria" w:hAnsi="Cambria" w:cstheme="majorHAnsi"/>
                <w:smallCaps/>
                <w:szCs w:val="18"/>
              </w:rPr>
            </w:pPr>
          </w:p>
        </w:tc>
        <w:tc>
          <w:tcPr>
            <w:tcW w:w="1775" w:type="dxa"/>
            <w:vAlign w:val="center"/>
          </w:tcPr>
          <w:p w14:paraId="220CAE56" w14:textId="02A3EDC1" w:rsidR="004C26CA" w:rsidRPr="000C5CA4" w:rsidRDefault="004C26CA" w:rsidP="001A3F82">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Obuke na temu ravnopravnosti spolova</w:t>
            </w:r>
            <w:r w:rsidR="001A3F82">
              <w:rPr>
                <w:rFonts w:ascii="Cambria" w:hAnsi="Cambria"/>
                <w:sz w:val="18"/>
                <w:szCs w:val="18"/>
              </w:rPr>
              <w:t xml:space="preserve">, </w:t>
            </w:r>
            <w:r w:rsidRPr="000C5CA4">
              <w:rPr>
                <w:rFonts w:ascii="Cambria" w:hAnsi="Cambria"/>
                <w:sz w:val="18"/>
                <w:szCs w:val="18"/>
              </w:rPr>
              <w:t>diskriminacije na osnovu spola</w:t>
            </w:r>
            <w:r w:rsidR="001A3F82">
              <w:rPr>
                <w:rFonts w:ascii="Cambria" w:hAnsi="Cambria"/>
                <w:sz w:val="18"/>
                <w:szCs w:val="18"/>
              </w:rPr>
              <w:t xml:space="preserve"> i</w:t>
            </w:r>
            <w:r w:rsidRPr="000C5CA4">
              <w:rPr>
                <w:rFonts w:ascii="Cambria" w:hAnsi="Cambria"/>
                <w:sz w:val="18"/>
                <w:szCs w:val="18"/>
              </w:rPr>
              <w:t xml:space="preserve"> </w:t>
            </w:r>
            <w:r w:rsidR="001A3F82">
              <w:rPr>
                <w:rFonts w:ascii="Cambria" w:hAnsi="Cambria"/>
                <w:sz w:val="18"/>
                <w:szCs w:val="18"/>
              </w:rPr>
              <w:t>izrada programa za djelovanje u oblasti ravnopravnost (gender mainstreaming)</w:t>
            </w:r>
          </w:p>
        </w:tc>
        <w:tc>
          <w:tcPr>
            <w:tcW w:w="1655" w:type="dxa"/>
            <w:vAlign w:val="center"/>
          </w:tcPr>
          <w:p w14:paraId="5B88E2BF" w14:textId="77777777" w:rsidR="004C26CA" w:rsidRPr="000C5CA4" w:rsidRDefault="004C26CA" w:rsidP="001A3F82">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Koordinacioni odbor </w:t>
            </w:r>
          </w:p>
        </w:tc>
        <w:tc>
          <w:tcPr>
            <w:tcW w:w="1775" w:type="dxa"/>
            <w:vAlign w:val="center"/>
          </w:tcPr>
          <w:p w14:paraId="2D6F9A7F" w14:textId="77777777" w:rsidR="004C26CA" w:rsidRPr="000C5CA4" w:rsidRDefault="004C26CA" w:rsidP="001A3F82">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Održane kontinuirane obuke za članove i članice Koordinacionog odbora </w:t>
            </w:r>
          </w:p>
        </w:tc>
        <w:tc>
          <w:tcPr>
            <w:tcW w:w="1487" w:type="dxa"/>
            <w:vAlign w:val="center"/>
          </w:tcPr>
          <w:p w14:paraId="2D86BD33" w14:textId="6D4A9729" w:rsidR="004C26CA" w:rsidRPr="000C5CA4" w:rsidRDefault="001A3F82" w:rsidP="001A3F82">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Kontinuirano</w:t>
            </w:r>
          </w:p>
        </w:tc>
        <w:tc>
          <w:tcPr>
            <w:tcW w:w="1374" w:type="dxa"/>
          </w:tcPr>
          <w:p w14:paraId="251516CF"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i partnerstvo</w:t>
            </w:r>
          </w:p>
        </w:tc>
        <w:tc>
          <w:tcPr>
            <w:tcW w:w="512" w:type="dxa"/>
            <w:textDirection w:val="btLr"/>
            <w:vAlign w:val="center"/>
          </w:tcPr>
          <w:p w14:paraId="3518CF67" w14:textId="105F0462" w:rsidR="004C26CA" w:rsidRPr="000C5CA4" w:rsidRDefault="001A3F82"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13D971D8" w14:textId="2837DFC5" w:rsidR="004C26CA" w:rsidRPr="000C5CA4" w:rsidRDefault="001A3F82"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17F133A1" w14:textId="02905CF1" w:rsidR="004C26CA" w:rsidRPr="000C5CA4" w:rsidRDefault="001A3F82"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1B5657E5" w14:textId="774A2AE4" w:rsidR="004C26CA" w:rsidRPr="000C5CA4" w:rsidRDefault="001A3F82"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5A76ACB4"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15CC5E4B"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5C4A221C"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r>
      <w:tr w:rsidR="001A3F82" w:rsidRPr="000C5CA4" w14:paraId="6CBDC62E" w14:textId="77777777" w:rsidTr="001A3F82">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099CD883" w14:textId="77777777" w:rsidR="004C26CA" w:rsidRPr="000C5CA4" w:rsidRDefault="004C26CA" w:rsidP="00827F37">
            <w:pPr>
              <w:pStyle w:val="Heading4"/>
              <w:spacing w:line="240" w:lineRule="auto"/>
              <w:outlineLvl w:val="3"/>
              <w:rPr>
                <w:rFonts w:ascii="Cambria" w:hAnsi="Cambria" w:cstheme="majorHAnsi"/>
                <w:smallCaps/>
                <w:szCs w:val="18"/>
              </w:rPr>
            </w:pPr>
          </w:p>
        </w:tc>
        <w:tc>
          <w:tcPr>
            <w:tcW w:w="1775" w:type="dxa"/>
            <w:vAlign w:val="center"/>
          </w:tcPr>
          <w:p w14:paraId="612AD408" w14:textId="77777777" w:rsidR="004C26CA" w:rsidRPr="000C5CA4" w:rsidRDefault="004C26CA" w:rsidP="001A3F82">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Analiza i unaprijeđenje metodologije za izradu godišnjih i završnog izvještaja o provođenja GAP-a</w:t>
            </w:r>
          </w:p>
        </w:tc>
        <w:tc>
          <w:tcPr>
            <w:tcW w:w="1655" w:type="dxa"/>
            <w:vAlign w:val="center"/>
          </w:tcPr>
          <w:p w14:paraId="43152AD2" w14:textId="77777777" w:rsidR="004C26CA" w:rsidRPr="000C5CA4" w:rsidRDefault="004C26CA" w:rsidP="001A3F82">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w:t>
            </w:r>
          </w:p>
        </w:tc>
        <w:tc>
          <w:tcPr>
            <w:tcW w:w="1775" w:type="dxa"/>
            <w:vAlign w:val="center"/>
          </w:tcPr>
          <w:p w14:paraId="1E18940E" w14:textId="77777777" w:rsidR="004C26CA" w:rsidRPr="000C5CA4" w:rsidRDefault="004C26CA" w:rsidP="001A3F82">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Održane obuke za članove i članice Koordinacionog odbora</w:t>
            </w:r>
          </w:p>
        </w:tc>
        <w:tc>
          <w:tcPr>
            <w:tcW w:w="1487" w:type="dxa"/>
            <w:vAlign w:val="center"/>
          </w:tcPr>
          <w:p w14:paraId="2FF4A7CA" w14:textId="1702623C" w:rsidR="004C26CA" w:rsidRPr="000C5CA4" w:rsidRDefault="00377CF9" w:rsidP="001A3F82">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 xml:space="preserve">Kraj </w:t>
            </w:r>
            <w:r w:rsidR="004C26CA" w:rsidRPr="000C5CA4">
              <w:rPr>
                <w:rFonts w:ascii="Cambria" w:hAnsi="Cambria"/>
                <w:sz w:val="18"/>
                <w:szCs w:val="18"/>
              </w:rPr>
              <w:t>2025.</w:t>
            </w:r>
          </w:p>
        </w:tc>
        <w:tc>
          <w:tcPr>
            <w:tcW w:w="1374" w:type="dxa"/>
          </w:tcPr>
          <w:p w14:paraId="57D5CDE4"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i partnerstvo</w:t>
            </w:r>
          </w:p>
        </w:tc>
        <w:tc>
          <w:tcPr>
            <w:tcW w:w="512" w:type="dxa"/>
            <w:textDirection w:val="btLr"/>
            <w:vAlign w:val="center"/>
          </w:tcPr>
          <w:p w14:paraId="4048980B" w14:textId="65E4A42B" w:rsidR="004C26CA" w:rsidRPr="000C5CA4" w:rsidRDefault="001A3F82"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3BFDAD45"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DED10A7"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5AA48F50"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61AD630"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E97DF60"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23617477"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r>
      <w:tr w:rsidR="001A3F82" w:rsidRPr="000C5CA4" w14:paraId="706467E0" w14:textId="77777777" w:rsidTr="001A3F82">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4768C174" w14:textId="77777777" w:rsidR="004C26CA" w:rsidRPr="000C5CA4" w:rsidRDefault="004C26CA" w:rsidP="00827F37">
            <w:pPr>
              <w:pStyle w:val="Heading4"/>
              <w:spacing w:line="240" w:lineRule="auto"/>
              <w:outlineLvl w:val="3"/>
              <w:rPr>
                <w:rFonts w:ascii="Cambria" w:hAnsi="Cambria" w:cstheme="majorHAnsi"/>
                <w:smallCaps/>
                <w:szCs w:val="18"/>
              </w:rPr>
            </w:pPr>
          </w:p>
        </w:tc>
        <w:tc>
          <w:tcPr>
            <w:tcW w:w="1775" w:type="dxa"/>
            <w:vAlign w:val="center"/>
          </w:tcPr>
          <w:p w14:paraId="18D26AF7" w14:textId="77777777" w:rsidR="004C26CA" w:rsidRPr="000C5CA4" w:rsidRDefault="004C26CA" w:rsidP="001A3F82">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Godišnji izvještaj o provođenju GAP-a se Vladi i Skupštini TK</w:t>
            </w:r>
          </w:p>
        </w:tc>
        <w:tc>
          <w:tcPr>
            <w:tcW w:w="1655" w:type="dxa"/>
            <w:vAlign w:val="center"/>
          </w:tcPr>
          <w:p w14:paraId="5B5E47D1" w14:textId="77777777" w:rsidR="004C26CA" w:rsidRPr="000C5CA4" w:rsidRDefault="004C26CA" w:rsidP="001A3F82">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w:t>
            </w:r>
          </w:p>
        </w:tc>
        <w:tc>
          <w:tcPr>
            <w:tcW w:w="1775" w:type="dxa"/>
            <w:vAlign w:val="center"/>
          </w:tcPr>
          <w:p w14:paraId="4AF5FEB5" w14:textId="77777777" w:rsidR="004C26CA" w:rsidRPr="000C5CA4" w:rsidRDefault="004C26CA" w:rsidP="001A3F82">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Izrađen izvještaj</w:t>
            </w:r>
          </w:p>
        </w:tc>
        <w:tc>
          <w:tcPr>
            <w:tcW w:w="1487" w:type="dxa"/>
            <w:vAlign w:val="center"/>
          </w:tcPr>
          <w:p w14:paraId="5A39412A" w14:textId="77777777" w:rsidR="004C26CA" w:rsidRPr="000C5CA4" w:rsidRDefault="004C26CA" w:rsidP="001A3F82">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Mart svake godine</w:t>
            </w:r>
          </w:p>
        </w:tc>
        <w:tc>
          <w:tcPr>
            <w:tcW w:w="1374" w:type="dxa"/>
          </w:tcPr>
          <w:p w14:paraId="6185D92C"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i partnerstvo</w:t>
            </w:r>
          </w:p>
        </w:tc>
        <w:tc>
          <w:tcPr>
            <w:tcW w:w="512" w:type="dxa"/>
            <w:textDirection w:val="btLr"/>
            <w:vAlign w:val="center"/>
          </w:tcPr>
          <w:p w14:paraId="66E962EB"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2284CDD4" w14:textId="0F7AFDC6" w:rsidR="004C26CA" w:rsidRPr="000C5CA4" w:rsidRDefault="001A3F82"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5BD90C8A" w14:textId="7C665630" w:rsidR="004C26CA" w:rsidRPr="000C5CA4" w:rsidRDefault="001A3F82"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30C2F1C3" w14:textId="7D0577A7" w:rsidR="004C26CA" w:rsidRPr="000C5CA4" w:rsidRDefault="001A3F82"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41C18155" w14:textId="19554AC2"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78B7C43"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D2ADCC5"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r>
      <w:tr w:rsidR="004C26CA" w:rsidRPr="000C5CA4" w14:paraId="29FBF347" w14:textId="77777777" w:rsidTr="00827F37">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val="restart"/>
            <w:hideMark/>
          </w:tcPr>
          <w:p w14:paraId="56F1F562" w14:textId="77777777" w:rsidR="004C26CA" w:rsidRPr="000C5CA4" w:rsidRDefault="004C26CA" w:rsidP="00827F37">
            <w:pPr>
              <w:pStyle w:val="Heading4"/>
              <w:spacing w:line="240" w:lineRule="auto"/>
              <w:outlineLvl w:val="3"/>
              <w:rPr>
                <w:rFonts w:ascii="Cambria" w:hAnsi="Cambria" w:cstheme="majorHAnsi"/>
                <w:i/>
                <w:iCs/>
                <w:color w:val="404040" w:themeColor="text1" w:themeTint="BF"/>
                <w:szCs w:val="18"/>
              </w:rPr>
            </w:pPr>
            <w:r w:rsidRPr="000C5CA4">
              <w:rPr>
                <w:rFonts w:ascii="Cambria" w:hAnsi="Cambria" w:cstheme="majorHAnsi"/>
                <w:szCs w:val="18"/>
              </w:rPr>
              <w:t>1.3. Uspostavljeni instrumenti za redovnu procjenu uticaja propisa na ravnopravnost spolova</w:t>
            </w:r>
          </w:p>
        </w:tc>
        <w:tc>
          <w:tcPr>
            <w:tcW w:w="1775" w:type="dxa"/>
          </w:tcPr>
          <w:p w14:paraId="1B5F97EE"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Svi prijedlozi zakona, podzakonskih akata i politika sadrže procjenu uticaja propisa i procjenu uticaja na ravnopravnost spolova</w:t>
            </w:r>
          </w:p>
        </w:tc>
        <w:tc>
          <w:tcPr>
            <w:tcW w:w="1655" w:type="dxa"/>
          </w:tcPr>
          <w:p w14:paraId="3D544B72" w14:textId="522159A6"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Ured za zakonodavstvo</w:t>
            </w:r>
            <w:r w:rsidR="001A3F82">
              <w:rPr>
                <w:rFonts w:ascii="Cambria" w:hAnsi="Cambria"/>
                <w:sz w:val="18"/>
                <w:szCs w:val="18"/>
              </w:rPr>
              <w:t xml:space="preserve"> i Komisija za jednakopravnost spolova</w:t>
            </w:r>
            <w:r w:rsidR="001A3F82" w:rsidRPr="001A3F82">
              <w:rPr>
                <w:rFonts w:ascii="Cambria" w:hAnsi="Cambria"/>
                <w:sz w:val="18"/>
                <w:szCs w:val="18"/>
              </w:rPr>
              <w:t xml:space="preserve"> u skladu sa Poslovnikom</w:t>
            </w:r>
          </w:p>
        </w:tc>
        <w:tc>
          <w:tcPr>
            <w:tcW w:w="1775" w:type="dxa"/>
          </w:tcPr>
          <w:p w14:paraId="65DF20EA"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usvojenih zakona (od ukupnog broja usvojenih) koji sadrže procjenu uticaja propisa na ravnopravnosti spolova i definiše zabranu diskriminacije po svim osnovama koji su usvojeni u toku prethodne godine</w:t>
            </w:r>
          </w:p>
        </w:tc>
        <w:tc>
          <w:tcPr>
            <w:tcW w:w="1487" w:type="dxa"/>
          </w:tcPr>
          <w:p w14:paraId="3BFE9C4E"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Februar svake godine</w:t>
            </w:r>
          </w:p>
        </w:tc>
        <w:tc>
          <w:tcPr>
            <w:tcW w:w="1374" w:type="dxa"/>
          </w:tcPr>
          <w:p w14:paraId="31BF3A5F"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12" w:type="dxa"/>
            <w:textDirection w:val="btLr"/>
            <w:vAlign w:val="center"/>
          </w:tcPr>
          <w:p w14:paraId="102F26C8"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BEF7914"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2D04FDD6"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38AC11A"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6D1ECB6C"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516EEB4A"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274555DE"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r>
      <w:tr w:rsidR="001A3F82" w:rsidRPr="000C5CA4" w14:paraId="11ED1C32" w14:textId="77777777" w:rsidTr="00827F37">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41B0A52A" w14:textId="77777777" w:rsidR="004C26CA" w:rsidRPr="000C5CA4" w:rsidRDefault="004C26CA" w:rsidP="00827F37">
            <w:pPr>
              <w:pStyle w:val="Heading4"/>
              <w:spacing w:line="240" w:lineRule="auto"/>
              <w:outlineLvl w:val="3"/>
              <w:rPr>
                <w:rFonts w:ascii="Cambria" w:hAnsi="Cambria" w:cstheme="majorHAnsi"/>
                <w:smallCaps/>
                <w:szCs w:val="18"/>
              </w:rPr>
            </w:pPr>
          </w:p>
        </w:tc>
        <w:tc>
          <w:tcPr>
            <w:tcW w:w="1775" w:type="dxa"/>
          </w:tcPr>
          <w:p w14:paraId="30BD02D7" w14:textId="2A65F68E" w:rsidR="004C26CA" w:rsidRPr="000C5CA4" w:rsidRDefault="001A3F82"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Komisija</w:t>
            </w:r>
            <w:r w:rsidR="004C26CA" w:rsidRPr="000C5CA4">
              <w:rPr>
                <w:rFonts w:ascii="Cambria" w:hAnsi="Cambria"/>
                <w:sz w:val="18"/>
                <w:szCs w:val="18"/>
              </w:rPr>
              <w:t xml:space="preserve"> daje mišljenje na sve zakon</w:t>
            </w:r>
            <w:r>
              <w:rPr>
                <w:rFonts w:ascii="Cambria" w:hAnsi="Cambria"/>
                <w:sz w:val="18"/>
                <w:szCs w:val="18"/>
              </w:rPr>
              <w:t>e</w:t>
            </w:r>
            <w:r w:rsidR="004C26CA" w:rsidRPr="000C5CA4">
              <w:rPr>
                <w:rFonts w:ascii="Cambria" w:hAnsi="Cambria"/>
                <w:sz w:val="18"/>
                <w:szCs w:val="18"/>
              </w:rPr>
              <w:t xml:space="preserve"> i podzakonske akte koje donosi Skupština</w:t>
            </w:r>
          </w:p>
        </w:tc>
        <w:tc>
          <w:tcPr>
            <w:tcW w:w="1655" w:type="dxa"/>
          </w:tcPr>
          <w:p w14:paraId="5E22CFFD" w14:textId="37BB9A41" w:rsidR="004C26CA" w:rsidRPr="000C5CA4" w:rsidRDefault="001A3F82"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1A3F82">
              <w:rPr>
                <w:rFonts w:ascii="Cambria" w:hAnsi="Cambria"/>
                <w:sz w:val="18"/>
                <w:szCs w:val="18"/>
              </w:rPr>
              <w:t>Ured za zakonodavstvo i Komisija za jednakopravnost spolova</w:t>
            </w:r>
            <w:r>
              <w:rPr>
                <w:rFonts w:ascii="Cambria" w:hAnsi="Cambria"/>
                <w:sz w:val="18"/>
                <w:szCs w:val="18"/>
              </w:rPr>
              <w:t xml:space="preserve"> u skladu sa Poslovnikom</w:t>
            </w:r>
          </w:p>
        </w:tc>
        <w:tc>
          <w:tcPr>
            <w:tcW w:w="1775" w:type="dxa"/>
          </w:tcPr>
          <w:p w14:paraId="78920D99"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zakona koje razmatra Skupština koji su dostavljeni Komisiji</w:t>
            </w:r>
          </w:p>
          <w:p w14:paraId="1620ADFB"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mišljenja o usklađenosti sa Zakonom o ravnopravnosti spolova i međunarodnim konvencijama o ravnopravnosti spolova i zabrani svakog oblika diskriminacije;</w:t>
            </w:r>
          </w:p>
        </w:tc>
        <w:tc>
          <w:tcPr>
            <w:tcW w:w="1487" w:type="dxa"/>
          </w:tcPr>
          <w:p w14:paraId="7EBF3259"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74" w:type="dxa"/>
          </w:tcPr>
          <w:p w14:paraId="07FB7B11"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12" w:type="dxa"/>
            <w:textDirection w:val="btLr"/>
            <w:vAlign w:val="center"/>
          </w:tcPr>
          <w:p w14:paraId="55AD0308"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695A2B29"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4336BB41"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25BA9404"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1CD2A69"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6E0A02A"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626D3091"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r>
      <w:tr w:rsidR="004C26CA" w:rsidRPr="000C5CA4" w14:paraId="0624B17A" w14:textId="77777777" w:rsidTr="00827F37">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val="restart"/>
            <w:hideMark/>
          </w:tcPr>
          <w:p w14:paraId="505F64C2" w14:textId="77777777" w:rsidR="004C26CA" w:rsidRPr="000C5CA4" w:rsidRDefault="004C26CA" w:rsidP="00827F37">
            <w:pPr>
              <w:pStyle w:val="Heading4"/>
              <w:spacing w:line="240" w:lineRule="auto"/>
              <w:outlineLvl w:val="3"/>
              <w:rPr>
                <w:rFonts w:ascii="Cambria" w:hAnsi="Cambria" w:cstheme="majorHAnsi"/>
                <w:i/>
                <w:iCs/>
                <w:color w:val="404040" w:themeColor="text1" w:themeTint="BF"/>
                <w:szCs w:val="18"/>
              </w:rPr>
            </w:pPr>
            <w:r w:rsidRPr="000C5CA4">
              <w:rPr>
                <w:rFonts w:ascii="Cambria" w:hAnsi="Cambria" w:cstheme="majorHAnsi"/>
                <w:szCs w:val="18"/>
              </w:rPr>
              <w:t>1.4. Provedene sektorske analize mogućnosti za unapređenje stanja ravnopravnosti spolova u prioritetnim oblastima</w:t>
            </w:r>
          </w:p>
        </w:tc>
        <w:tc>
          <w:tcPr>
            <w:tcW w:w="1775" w:type="dxa"/>
          </w:tcPr>
          <w:p w14:paraId="76A941F6"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Analiza dostupnosti administrativnih podataka razvrstanih po spolu</w:t>
            </w:r>
          </w:p>
        </w:tc>
        <w:tc>
          <w:tcPr>
            <w:tcW w:w="1655" w:type="dxa"/>
          </w:tcPr>
          <w:p w14:paraId="56547240" w14:textId="19A75D00"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Ministarstv</w:t>
            </w:r>
            <w:r w:rsidR="00487219">
              <w:rPr>
                <w:rFonts w:ascii="Cambria" w:hAnsi="Cambria"/>
                <w:sz w:val="18"/>
                <w:szCs w:val="18"/>
              </w:rPr>
              <w:t>o pravosuđa i uprave</w:t>
            </w:r>
          </w:p>
        </w:tc>
        <w:tc>
          <w:tcPr>
            <w:tcW w:w="1775" w:type="dxa"/>
          </w:tcPr>
          <w:p w14:paraId="00AFF312"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Analiza dostupnosti administrativnih podataka razvrstanih po spolu dostavljena Komisiji sa prijedlogom prioriteta za unapređenje</w:t>
            </w:r>
          </w:p>
        </w:tc>
        <w:tc>
          <w:tcPr>
            <w:tcW w:w="1487" w:type="dxa"/>
          </w:tcPr>
          <w:p w14:paraId="790CA9A4"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Kontinuirano </w:t>
            </w:r>
          </w:p>
        </w:tc>
        <w:tc>
          <w:tcPr>
            <w:tcW w:w="1374" w:type="dxa"/>
          </w:tcPr>
          <w:p w14:paraId="75D4E9F1"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12" w:type="dxa"/>
            <w:textDirection w:val="btLr"/>
            <w:vAlign w:val="center"/>
          </w:tcPr>
          <w:p w14:paraId="041FC78D"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52372F95" w14:textId="44A78C5C" w:rsidR="004C26CA" w:rsidRPr="000C5CA4" w:rsidRDefault="00487219"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2A294C49"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D60483E"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41C01D15"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2288F11"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690529E2"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r>
      <w:tr w:rsidR="001A3F82" w:rsidRPr="000C5CA4" w14:paraId="3E25DE82" w14:textId="77777777" w:rsidTr="00827F37">
        <w:trPr>
          <w:cnfStyle w:val="000000100000" w:firstRow="0" w:lastRow="0" w:firstColumn="0" w:lastColumn="0" w:oddVBand="0" w:evenVBand="0" w:oddHBand="1" w:evenHBand="0" w:firstRowFirstColumn="0" w:firstRowLastColumn="0" w:lastRowFirstColumn="0" w:lastRowLastColumn="0"/>
          <w:cantSplit/>
          <w:trHeight w:val="1221"/>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48B94ECA" w14:textId="77777777" w:rsidR="004C26CA" w:rsidRPr="000C5CA4" w:rsidRDefault="004C26CA" w:rsidP="00827F37">
            <w:pPr>
              <w:pStyle w:val="Heading4"/>
              <w:spacing w:line="240" w:lineRule="auto"/>
              <w:outlineLvl w:val="3"/>
              <w:rPr>
                <w:rFonts w:ascii="Cambria" w:hAnsi="Cambria" w:cstheme="majorHAnsi"/>
                <w:smallCaps/>
                <w:szCs w:val="18"/>
              </w:rPr>
            </w:pPr>
          </w:p>
        </w:tc>
        <w:tc>
          <w:tcPr>
            <w:tcW w:w="1775" w:type="dxa"/>
          </w:tcPr>
          <w:p w14:paraId="08108170"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Unaprijeđene administrativne baze podataka</w:t>
            </w:r>
          </w:p>
        </w:tc>
        <w:tc>
          <w:tcPr>
            <w:tcW w:w="1655" w:type="dxa"/>
          </w:tcPr>
          <w:p w14:paraId="7C42684C"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Ministarstva i druga tijela vlade</w:t>
            </w:r>
          </w:p>
        </w:tc>
        <w:tc>
          <w:tcPr>
            <w:tcW w:w="1775" w:type="dxa"/>
          </w:tcPr>
          <w:p w14:paraId="1AA817CF"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utvrđenih baza koji je unaprijeđen da sadrži podatke razvrstane po spolu</w:t>
            </w:r>
          </w:p>
        </w:tc>
        <w:tc>
          <w:tcPr>
            <w:tcW w:w="1487" w:type="dxa"/>
          </w:tcPr>
          <w:p w14:paraId="3DA61EC4"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74" w:type="dxa"/>
          </w:tcPr>
          <w:p w14:paraId="28F71262"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12" w:type="dxa"/>
            <w:textDirection w:val="btLr"/>
            <w:vAlign w:val="center"/>
          </w:tcPr>
          <w:p w14:paraId="2988F087"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58023FE" w14:textId="6AC08A93" w:rsidR="004C26CA" w:rsidRPr="000C5CA4" w:rsidRDefault="00487219"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1FF17C8D" w14:textId="77910B7B" w:rsidR="004C26CA" w:rsidRPr="000C5CA4" w:rsidRDefault="00487219"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0E43E652" w14:textId="127264F9" w:rsidR="004C26CA" w:rsidRPr="000C5CA4" w:rsidRDefault="00487219"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5DE79B00"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19322638"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3F0F64E"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r>
      <w:tr w:rsidR="004C26CA" w:rsidRPr="000C5CA4" w14:paraId="6A23307A" w14:textId="77777777" w:rsidTr="00827F37">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val="restart"/>
            <w:hideMark/>
          </w:tcPr>
          <w:p w14:paraId="4DD608B4" w14:textId="29FC06E2" w:rsidR="004C26CA" w:rsidRPr="000C5CA4" w:rsidRDefault="004C26CA" w:rsidP="00827F37">
            <w:pPr>
              <w:pStyle w:val="Heading4"/>
              <w:spacing w:line="240" w:lineRule="auto"/>
              <w:outlineLvl w:val="3"/>
              <w:rPr>
                <w:rFonts w:ascii="Cambria" w:hAnsi="Cambria" w:cstheme="majorHAnsi"/>
                <w:i/>
                <w:iCs/>
                <w:color w:val="404040" w:themeColor="text1" w:themeTint="BF"/>
                <w:szCs w:val="18"/>
              </w:rPr>
            </w:pPr>
            <w:r w:rsidRPr="000C5CA4">
              <w:rPr>
                <w:rFonts w:ascii="Cambria" w:hAnsi="Cambria" w:cstheme="majorHAnsi"/>
                <w:szCs w:val="18"/>
              </w:rPr>
              <w:t xml:space="preserve">1.5. Budžet </w:t>
            </w:r>
            <w:r w:rsidR="00934008">
              <w:rPr>
                <w:rFonts w:ascii="Cambria" w:hAnsi="Cambria" w:cstheme="majorHAnsi"/>
                <w:szCs w:val="18"/>
              </w:rPr>
              <w:t xml:space="preserve">TK </w:t>
            </w:r>
            <w:r w:rsidRPr="000C5CA4">
              <w:rPr>
                <w:rFonts w:ascii="Cambria" w:hAnsi="Cambria" w:cstheme="majorHAnsi"/>
                <w:szCs w:val="18"/>
              </w:rPr>
              <w:t>sadrži procjenu uticaja na ravnopravnost spolova (rodno-odgovorno budžetiranje)</w:t>
            </w:r>
          </w:p>
        </w:tc>
        <w:tc>
          <w:tcPr>
            <w:tcW w:w="1775" w:type="dxa"/>
          </w:tcPr>
          <w:p w14:paraId="2718B550"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U Zakonu o izvršavanju Budžeta TK utvrditi jasne obaveze za rodno-odgovorno budžetiranje u prioritetnim oblastima</w:t>
            </w:r>
          </w:p>
        </w:tc>
        <w:tc>
          <w:tcPr>
            <w:tcW w:w="1655" w:type="dxa"/>
          </w:tcPr>
          <w:p w14:paraId="79F08252"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Ministarstvo finansija</w:t>
            </w:r>
          </w:p>
        </w:tc>
        <w:tc>
          <w:tcPr>
            <w:tcW w:w="1775" w:type="dxa"/>
          </w:tcPr>
          <w:p w14:paraId="1AC46FD7"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Broj oblasti koje su ocijenjene kao prioritetne (npr. tekući transferi i sl)</w:t>
            </w:r>
          </w:p>
        </w:tc>
        <w:tc>
          <w:tcPr>
            <w:tcW w:w="1487" w:type="dxa"/>
          </w:tcPr>
          <w:p w14:paraId="7D033BE1"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Kontinuirano  </w:t>
            </w:r>
          </w:p>
        </w:tc>
        <w:tc>
          <w:tcPr>
            <w:tcW w:w="1374" w:type="dxa"/>
          </w:tcPr>
          <w:p w14:paraId="001D3076"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12" w:type="dxa"/>
            <w:textDirection w:val="btLr"/>
            <w:vAlign w:val="center"/>
          </w:tcPr>
          <w:p w14:paraId="7AD8CCF2"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6A3B54F4"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136F23B"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3F76FE4"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68C48FC"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ED8B1A5"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1A23CAAE"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r>
      <w:tr w:rsidR="001A3F82" w:rsidRPr="000C5CA4" w14:paraId="1CE0A29C" w14:textId="77777777" w:rsidTr="00827F37">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6307AC28" w14:textId="77777777" w:rsidR="004C26CA" w:rsidRPr="000C5CA4" w:rsidRDefault="004C26CA" w:rsidP="00827F37">
            <w:pPr>
              <w:spacing w:line="240" w:lineRule="auto"/>
              <w:jc w:val="left"/>
              <w:rPr>
                <w:rFonts w:ascii="Cambria" w:hAnsi="Cambria" w:cstheme="majorHAnsi"/>
                <w:sz w:val="18"/>
                <w:szCs w:val="18"/>
              </w:rPr>
            </w:pPr>
          </w:p>
        </w:tc>
        <w:tc>
          <w:tcPr>
            <w:tcW w:w="1775" w:type="dxa"/>
          </w:tcPr>
          <w:p w14:paraId="386473B1"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Edukacija i akreditacija za budžetske službenike u svim institucijama TK</w:t>
            </w:r>
          </w:p>
        </w:tc>
        <w:tc>
          <w:tcPr>
            <w:tcW w:w="1655" w:type="dxa"/>
          </w:tcPr>
          <w:p w14:paraId="00B71C21"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Ministarstvo finansija TK, Gender centar FBiH, UN Women</w:t>
            </w:r>
          </w:p>
        </w:tc>
        <w:tc>
          <w:tcPr>
            <w:tcW w:w="1775" w:type="dxa"/>
          </w:tcPr>
          <w:p w14:paraId="0BBED4C4"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Broj obučenih planera; procenat institucija s obučenim osobljem.</w:t>
            </w:r>
          </w:p>
        </w:tc>
        <w:tc>
          <w:tcPr>
            <w:tcW w:w="1487" w:type="dxa"/>
          </w:tcPr>
          <w:p w14:paraId="32F50E37"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2025-2027 godina</w:t>
            </w:r>
          </w:p>
        </w:tc>
        <w:tc>
          <w:tcPr>
            <w:tcW w:w="1374" w:type="dxa"/>
          </w:tcPr>
          <w:p w14:paraId="7E2F1CFF"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partnerstvo</w:t>
            </w:r>
          </w:p>
        </w:tc>
        <w:tc>
          <w:tcPr>
            <w:tcW w:w="512" w:type="dxa"/>
          </w:tcPr>
          <w:p w14:paraId="70784FFE"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12" w:type="dxa"/>
            <w:textDirection w:val="btLr"/>
            <w:vAlign w:val="center"/>
          </w:tcPr>
          <w:p w14:paraId="52A1B457"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20904B31"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5AA16B9E"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DAA7DE9"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10AD5AF8"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6587915E"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r>
      <w:tr w:rsidR="004C26CA" w:rsidRPr="000C5CA4" w14:paraId="51E0069E" w14:textId="77777777" w:rsidTr="00827F37">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70CAFDE1" w14:textId="77777777" w:rsidR="004C26CA" w:rsidRPr="000C5CA4" w:rsidRDefault="004C26CA" w:rsidP="00827F37">
            <w:pPr>
              <w:spacing w:line="240" w:lineRule="auto"/>
              <w:jc w:val="left"/>
              <w:rPr>
                <w:rFonts w:ascii="Cambria" w:hAnsi="Cambria" w:cstheme="majorHAnsi"/>
                <w:sz w:val="18"/>
                <w:szCs w:val="18"/>
              </w:rPr>
            </w:pPr>
          </w:p>
        </w:tc>
        <w:tc>
          <w:tcPr>
            <w:tcW w:w="1775" w:type="dxa"/>
          </w:tcPr>
          <w:p w14:paraId="367A9E52"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Izrađena analiza krajnjih korisnika budžeta u odnosu na spol</w:t>
            </w:r>
          </w:p>
          <w:p w14:paraId="191873C0"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1655" w:type="dxa"/>
          </w:tcPr>
          <w:p w14:paraId="5A1D5CEC"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Ministarstvo finansija na osnovu podataka svih budžetskih korisnika</w:t>
            </w:r>
          </w:p>
        </w:tc>
        <w:tc>
          <w:tcPr>
            <w:tcW w:w="1775" w:type="dxa"/>
          </w:tcPr>
          <w:p w14:paraId="3382B136"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oblasti koji sadrži procjenu uticaja na ravnopravnost spolova (rodno-odgovorno budžetiranje)</w:t>
            </w:r>
          </w:p>
        </w:tc>
        <w:tc>
          <w:tcPr>
            <w:tcW w:w="1487" w:type="dxa"/>
          </w:tcPr>
          <w:p w14:paraId="37D5388A"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74" w:type="dxa"/>
          </w:tcPr>
          <w:p w14:paraId="09E6CA65"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12" w:type="dxa"/>
            <w:textDirection w:val="btLr"/>
            <w:vAlign w:val="center"/>
          </w:tcPr>
          <w:p w14:paraId="75EF4A5F"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8051BDD"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70AE923"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89EEDA8"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4102F4F"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7BF3A51D"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4D124B4F"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r>
      <w:tr w:rsidR="001A3F82" w:rsidRPr="000C5CA4" w14:paraId="69244DF5" w14:textId="77777777" w:rsidTr="00827F37">
        <w:trPr>
          <w:cnfStyle w:val="000000100000" w:firstRow="0" w:lastRow="0" w:firstColumn="0" w:lastColumn="0" w:oddVBand="0" w:evenVBand="0" w:oddHBand="1" w:evenHBand="0" w:firstRowFirstColumn="0" w:firstRowLastColumn="0" w:lastRowFirstColumn="0" w:lastRowLastColumn="0"/>
          <w:cantSplit/>
          <w:trHeight w:val="1201"/>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hideMark/>
          </w:tcPr>
          <w:p w14:paraId="1A6AAAFA" w14:textId="77777777" w:rsidR="004C26CA" w:rsidRPr="000C5CA4" w:rsidRDefault="004C26CA" w:rsidP="00827F37">
            <w:pPr>
              <w:spacing w:line="240" w:lineRule="auto"/>
              <w:jc w:val="left"/>
              <w:rPr>
                <w:rFonts w:ascii="Cambria" w:hAnsi="Cambria" w:cstheme="majorHAnsi"/>
                <w:sz w:val="18"/>
                <w:szCs w:val="18"/>
              </w:rPr>
            </w:pPr>
          </w:p>
        </w:tc>
        <w:tc>
          <w:tcPr>
            <w:tcW w:w="1775" w:type="dxa"/>
          </w:tcPr>
          <w:p w14:paraId="092DE88E" w14:textId="58046800"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Godišnji izvještaj o ROB-u u okviru </w:t>
            </w:r>
            <w:r w:rsidR="00BB3B9A">
              <w:rPr>
                <w:rFonts w:ascii="Cambria" w:hAnsi="Cambria"/>
                <w:sz w:val="18"/>
                <w:szCs w:val="18"/>
              </w:rPr>
              <w:t>Izvještaja o izvršenja b</w:t>
            </w:r>
            <w:r w:rsidRPr="000C5CA4">
              <w:rPr>
                <w:rFonts w:ascii="Cambria" w:hAnsi="Cambria"/>
                <w:sz w:val="18"/>
                <w:szCs w:val="18"/>
              </w:rPr>
              <w:t>udžeta TK</w:t>
            </w:r>
          </w:p>
        </w:tc>
        <w:tc>
          <w:tcPr>
            <w:tcW w:w="1655" w:type="dxa"/>
          </w:tcPr>
          <w:p w14:paraId="413F37BF"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Ministarstvo finansija TK, Skupština TK, Koordinaciono tijelo GAP</w:t>
            </w:r>
          </w:p>
        </w:tc>
        <w:tc>
          <w:tcPr>
            <w:tcW w:w="1775" w:type="dxa"/>
          </w:tcPr>
          <w:p w14:paraId="314A8204"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Izvještaj sastavni dio budžetskog dokumenta; broj analiziranih stavki po spolu.</w:t>
            </w:r>
          </w:p>
        </w:tc>
        <w:tc>
          <w:tcPr>
            <w:tcW w:w="1487" w:type="dxa"/>
          </w:tcPr>
          <w:p w14:paraId="126A8EF3"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74" w:type="dxa"/>
          </w:tcPr>
          <w:p w14:paraId="1CFABC4C"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12" w:type="dxa"/>
            <w:textDirection w:val="btLr"/>
            <w:vAlign w:val="center"/>
          </w:tcPr>
          <w:p w14:paraId="5A16760A"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2ABB53F2"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6F903D7C"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0B939E55"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92DE617"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0E0D793"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3CBAE65D"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p>
        </w:tc>
      </w:tr>
      <w:tr w:rsidR="004C26CA" w:rsidRPr="000C5CA4" w14:paraId="62B9400A" w14:textId="77777777" w:rsidTr="00827F37">
        <w:trPr>
          <w:cantSplit/>
          <w:trHeight w:val="1754"/>
          <w:tblCellSpacing w:w="20" w:type="dxa"/>
        </w:trPr>
        <w:tc>
          <w:tcPr>
            <w:cnfStyle w:val="001000000000" w:firstRow="0" w:lastRow="0" w:firstColumn="1" w:lastColumn="0" w:oddVBand="0" w:evenVBand="0" w:oddHBand="0" w:evenHBand="0" w:firstRowFirstColumn="0" w:firstRowLastColumn="0" w:lastRowFirstColumn="0" w:lastRowLastColumn="0"/>
            <w:tcW w:w="1583" w:type="dxa"/>
            <w:vMerge/>
          </w:tcPr>
          <w:p w14:paraId="30CF977B" w14:textId="77777777" w:rsidR="004C26CA" w:rsidRPr="000C5CA4" w:rsidRDefault="004C26CA" w:rsidP="00827F37">
            <w:pPr>
              <w:spacing w:line="240" w:lineRule="auto"/>
              <w:jc w:val="left"/>
              <w:rPr>
                <w:rFonts w:ascii="Cambria" w:hAnsi="Cambria" w:cstheme="majorHAnsi"/>
                <w:sz w:val="18"/>
                <w:szCs w:val="18"/>
              </w:rPr>
            </w:pPr>
          </w:p>
        </w:tc>
        <w:tc>
          <w:tcPr>
            <w:tcW w:w="1775" w:type="dxa"/>
            <w:vAlign w:val="center"/>
          </w:tcPr>
          <w:p w14:paraId="26F31D9B" w14:textId="51DF365D" w:rsidR="004C26CA" w:rsidRPr="000C5CA4" w:rsidRDefault="004C26CA" w:rsidP="00827F3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 xml:space="preserve">Sredstva za provođenje Gender akcionog plana </w:t>
            </w:r>
            <w:r w:rsidR="00487219">
              <w:rPr>
                <w:rFonts w:ascii="Cambria" w:hAnsi="Cambria" w:cstheme="majorHAnsi"/>
                <w:sz w:val="18"/>
                <w:szCs w:val="18"/>
              </w:rPr>
              <w:t xml:space="preserve">TK </w:t>
            </w:r>
            <w:r w:rsidRPr="000C5CA4">
              <w:rPr>
                <w:rFonts w:ascii="Cambria" w:hAnsi="Cambria" w:cstheme="majorHAnsi"/>
                <w:sz w:val="18"/>
                <w:szCs w:val="18"/>
              </w:rPr>
              <w:t>su planirana u budžetu</w:t>
            </w:r>
          </w:p>
        </w:tc>
        <w:tc>
          <w:tcPr>
            <w:tcW w:w="1655" w:type="dxa"/>
            <w:vAlign w:val="center"/>
          </w:tcPr>
          <w:p w14:paraId="57C38791" w14:textId="77777777" w:rsidR="004C26CA" w:rsidRPr="000C5CA4" w:rsidRDefault="004C26CA" w:rsidP="00827F3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Ministarstvo finansija na prijedlog nadležnih ministarstava i službi</w:t>
            </w:r>
          </w:p>
        </w:tc>
        <w:tc>
          <w:tcPr>
            <w:tcW w:w="1775" w:type="dxa"/>
            <w:vAlign w:val="center"/>
          </w:tcPr>
          <w:p w14:paraId="0334B1BA" w14:textId="77777777" w:rsidR="004C26CA" w:rsidRPr="000C5CA4" w:rsidRDefault="004C26CA" w:rsidP="00827F3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 aktivnosti po godinama za koji su odvojena sredstva u skladu sa zahtjevima</w:t>
            </w:r>
          </w:p>
        </w:tc>
        <w:tc>
          <w:tcPr>
            <w:tcW w:w="1487" w:type="dxa"/>
            <w:textDirection w:val="btLr"/>
            <w:vAlign w:val="center"/>
          </w:tcPr>
          <w:p w14:paraId="1792DD34"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kontinuirano</w:t>
            </w:r>
          </w:p>
        </w:tc>
        <w:tc>
          <w:tcPr>
            <w:tcW w:w="1374" w:type="dxa"/>
            <w:textDirection w:val="btLr"/>
            <w:vAlign w:val="center"/>
          </w:tcPr>
          <w:p w14:paraId="783CC2F2" w14:textId="043D655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0C5CA4">
              <w:rPr>
                <w:rFonts w:ascii="Cambria" w:hAnsi="Cambria" w:cstheme="majorHAnsi"/>
                <w:sz w:val="18"/>
                <w:szCs w:val="18"/>
              </w:rPr>
              <w:t>Redovna sredstva</w:t>
            </w:r>
          </w:p>
        </w:tc>
        <w:tc>
          <w:tcPr>
            <w:tcW w:w="512" w:type="dxa"/>
            <w:textDirection w:val="btLr"/>
            <w:vAlign w:val="center"/>
          </w:tcPr>
          <w:p w14:paraId="4E0FB174" w14:textId="17F3846E"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4B178C93" w14:textId="48510C65" w:rsidR="004C26CA" w:rsidRPr="000C5CA4" w:rsidRDefault="00BB3B9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6178D0A5" w14:textId="68556198" w:rsidR="004C26CA" w:rsidRPr="000C5CA4" w:rsidRDefault="00BB3B9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72E943B2" w14:textId="2E8DFB6E" w:rsidR="004C26CA" w:rsidRPr="000C5CA4" w:rsidRDefault="00BB3B9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Pr>
                <w:rFonts w:ascii="Cambria" w:hAnsi="Cambria" w:cstheme="majorHAnsi"/>
                <w:sz w:val="18"/>
                <w:szCs w:val="18"/>
              </w:rPr>
              <w:t>x</w:t>
            </w:r>
          </w:p>
        </w:tc>
        <w:tc>
          <w:tcPr>
            <w:tcW w:w="512" w:type="dxa"/>
            <w:textDirection w:val="btLr"/>
            <w:vAlign w:val="center"/>
          </w:tcPr>
          <w:p w14:paraId="79D70A3B"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49B08254"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c>
          <w:tcPr>
            <w:tcW w:w="512" w:type="dxa"/>
            <w:textDirection w:val="btLr"/>
            <w:vAlign w:val="center"/>
          </w:tcPr>
          <w:p w14:paraId="1384A4F6"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p>
        </w:tc>
      </w:tr>
    </w:tbl>
    <w:p w14:paraId="77DAB531" w14:textId="77777777" w:rsidR="004C26CA" w:rsidRPr="000C5CA4" w:rsidRDefault="004C26CA" w:rsidP="004C26CA">
      <w:pPr>
        <w:pStyle w:val="BodyText"/>
        <w:rPr>
          <w:sz w:val="16"/>
          <w:szCs w:val="18"/>
        </w:rPr>
      </w:pPr>
    </w:p>
    <w:p w14:paraId="1C6618C8" w14:textId="77777777" w:rsidR="004C26CA" w:rsidRPr="000C5CA4" w:rsidRDefault="004C26CA" w:rsidP="004C26CA">
      <w:pPr>
        <w:pStyle w:val="BodyText"/>
        <w:rPr>
          <w:sz w:val="16"/>
          <w:szCs w:val="18"/>
        </w:rPr>
      </w:pPr>
    </w:p>
    <w:tbl>
      <w:tblPr>
        <w:tblStyle w:val="GridTable4-Accent11"/>
        <w:tblW w:w="14207" w:type="dxa"/>
        <w:tblCellSpacing w:w="20"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Look w:val="04A0" w:firstRow="1" w:lastRow="0" w:firstColumn="1" w:lastColumn="0" w:noHBand="0" w:noVBand="1"/>
      </w:tblPr>
      <w:tblGrid>
        <w:gridCol w:w="1674"/>
        <w:gridCol w:w="2539"/>
        <w:gridCol w:w="1848"/>
        <w:gridCol w:w="1762"/>
        <w:gridCol w:w="1517"/>
        <w:gridCol w:w="1404"/>
        <w:gridCol w:w="499"/>
        <w:gridCol w:w="499"/>
        <w:gridCol w:w="499"/>
        <w:gridCol w:w="499"/>
        <w:gridCol w:w="479"/>
        <w:gridCol w:w="479"/>
        <w:gridCol w:w="509"/>
      </w:tblGrid>
      <w:tr w:rsidR="0070073E" w:rsidRPr="000C5CA4" w14:paraId="305D9395" w14:textId="77777777" w:rsidTr="0070073E">
        <w:trPr>
          <w:cnfStyle w:val="100000000000" w:firstRow="1" w:lastRow="0" w:firstColumn="0" w:lastColumn="0" w:oddVBand="0" w:evenVBand="0" w:oddHBand="0" w:evenHBand="0" w:firstRowFirstColumn="0" w:firstRowLastColumn="0" w:lastRowFirstColumn="0" w:lastRowLastColumn="0"/>
          <w:cantSplit/>
          <w:trHeight w:val="2274"/>
          <w:tblHeader/>
          <w:tblCellSpacing w:w="20" w:type="dxa"/>
        </w:trPr>
        <w:tc>
          <w:tcPr>
            <w:cnfStyle w:val="001000000000" w:firstRow="0" w:lastRow="0" w:firstColumn="1" w:lastColumn="0" w:oddVBand="0" w:evenVBand="0" w:oddHBand="0" w:evenHBand="0" w:firstRowFirstColumn="0" w:firstRowLastColumn="0" w:lastRowFirstColumn="0" w:lastRowLastColumn="0"/>
            <w:tcW w:w="1614" w:type="dxa"/>
            <w:shd w:val="clear" w:color="auto" w:fill="2F5496" w:themeFill="accent5" w:themeFillShade="BF"/>
            <w:vAlign w:val="center"/>
          </w:tcPr>
          <w:p w14:paraId="45A29003" w14:textId="77777777" w:rsidR="0070073E" w:rsidRPr="000C5CA4" w:rsidRDefault="0070073E" w:rsidP="00490474">
            <w:pPr>
              <w:spacing w:line="240" w:lineRule="auto"/>
              <w:jc w:val="center"/>
              <w:rPr>
                <w:rFonts w:ascii="Cambria" w:hAnsi="Cambria"/>
                <w:b w:val="0"/>
                <w:sz w:val="18"/>
                <w:szCs w:val="18"/>
              </w:rPr>
            </w:pPr>
            <w:r w:rsidRPr="000C5CA4">
              <w:rPr>
                <w:rFonts w:ascii="Cambria" w:hAnsi="Cambria"/>
                <w:b w:val="0"/>
                <w:sz w:val="18"/>
                <w:szCs w:val="18"/>
              </w:rPr>
              <w:lastRenderedPageBreak/>
              <w:t>Očekivani rezultat</w:t>
            </w:r>
          </w:p>
        </w:tc>
        <w:tc>
          <w:tcPr>
            <w:tcW w:w="2499" w:type="dxa"/>
            <w:shd w:val="clear" w:color="auto" w:fill="2F5496" w:themeFill="accent5" w:themeFillShade="BF"/>
            <w:vAlign w:val="center"/>
          </w:tcPr>
          <w:p w14:paraId="087B9969" w14:textId="77777777" w:rsidR="0070073E" w:rsidRPr="000C5CA4" w:rsidRDefault="0070073E" w:rsidP="0049047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Aktivnost</w:t>
            </w:r>
          </w:p>
        </w:tc>
        <w:tc>
          <w:tcPr>
            <w:tcW w:w="1808" w:type="dxa"/>
            <w:shd w:val="clear" w:color="auto" w:fill="2F5496" w:themeFill="accent5" w:themeFillShade="BF"/>
            <w:vAlign w:val="center"/>
          </w:tcPr>
          <w:p w14:paraId="08B90E37" w14:textId="77777777" w:rsidR="0070073E" w:rsidRPr="000C5CA4" w:rsidRDefault="0070073E" w:rsidP="0049047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Nosilac odgovornosti</w:t>
            </w:r>
          </w:p>
        </w:tc>
        <w:tc>
          <w:tcPr>
            <w:tcW w:w="1722" w:type="dxa"/>
            <w:shd w:val="clear" w:color="auto" w:fill="2F5496" w:themeFill="accent5" w:themeFillShade="BF"/>
            <w:vAlign w:val="center"/>
          </w:tcPr>
          <w:p w14:paraId="3E6308E1" w14:textId="77777777" w:rsidR="0070073E" w:rsidRPr="000C5CA4" w:rsidRDefault="0070073E" w:rsidP="0049047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Pokazatelj napretka u odnosu na početno stanje</w:t>
            </w:r>
          </w:p>
        </w:tc>
        <w:tc>
          <w:tcPr>
            <w:tcW w:w="1477" w:type="dxa"/>
            <w:shd w:val="clear" w:color="auto" w:fill="2F5496" w:themeFill="accent5" w:themeFillShade="BF"/>
            <w:textDirection w:val="btLr"/>
            <w:vAlign w:val="center"/>
          </w:tcPr>
          <w:p w14:paraId="785882B7" w14:textId="77777777" w:rsidR="0070073E" w:rsidRPr="000C5CA4" w:rsidRDefault="0070073E" w:rsidP="00490474">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Rok</w:t>
            </w:r>
          </w:p>
        </w:tc>
        <w:tc>
          <w:tcPr>
            <w:tcW w:w="1364" w:type="dxa"/>
            <w:shd w:val="clear" w:color="auto" w:fill="2F5496" w:themeFill="accent5" w:themeFillShade="BF"/>
            <w:textDirection w:val="btLr"/>
            <w:vAlign w:val="center"/>
          </w:tcPr>
          <w:p w14:paraId="769BA4A8" w14:textId="77777777" w:rsidR="0070073E" w:rsidRPr="000C5CA4" w:rsidRDefault="0070073E" w:rsidP="00490474">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Izvor finansiranja</w:t>
            </w:r>
          </w:p>
        </w:tc>
        <w:tc>
          <w:tcPr>
            <w:tcW w:w="459" w:type="dxa"/>
            <w:shd w:val="clear" w:color="auto" w:fill="2F5496" w:themeFill="accent5" w:themeFillShade="BF"/>
            <w:textDirection w:val="btLr"/>
            <w:vAlign w:val="center"/>
          </w:tcPr>
          <w:p w14:paraId="4C08BCBD" w14:textId="44041155" w:rsidR="0070073E" w:rsidRPr="000C5CA4" w:rsidRDefault="0070073E" w:rsidP="00490474">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cstheme="majorHAnsi"/>
                <w:b w:val="0"/>
                <w:sz w:val="18"/>
                <w:szCs w:val="18"/>
              </w:rPr>
              <w:t>Napredak do kraja 2025.</w:t>
            </w:r>
          </w:p>
        </w:tc>
        <w:tc>
          <w:tcPr>
            <w:tcW w:w="459" w:type="dxa"/>
            <w:shd w:val="clear" w:color="auto" w:fill="2F5496" w:themeFill="accent5" w:themeFillShade="BF"/>
            <w:textDirection w:val="btLr"/>
            <w:vAlign w:val="center"/>
          </w:tcPr>
          <w:p w14:paraId="063D744F" w14:textId="57A40DEF" w:rsidR="0070073E" w:rsidRPr="000C5CA4" w:rsidRDefault="0070073E" w:rsidP="00490474">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cstheme="majorHAnsi"/>
                <w:b w:val="0"/>
                <w:sz w:val="18"/>
                <w:szCs w:val="18"/>
              </w:rPr>
              <w:t>Napredak do kraja 2026</w:t>
            </w:r>
          </w:p>
        </w:tc>
        <w:tc>
          <w:tcPr>
            <w:tcW w:w="459" w:type="dxa"/>
            <w:shd w:val="clear" w:color="auto" w:fill="2F5496" w:themeFill="accent5" w:themeFillShade="BF"/>
            <w:textDirection w:val="btLr"/>
            <w:vAlign w:val="center"/>
          </w:tcPr>
          <w:p w14:paraId="7EA39F69" w14:textId="598D935B" w:rsidR="0070073E" w:rsidRPr="000C5CA4" w:rsidRDefault="0070073E" w:rsidP="00490474">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cstheme="majorHAnsi"/>
                <w:b w:val="0"/>
                <w:sz w:val="18"/>
                <w:szCs w:val="18"/>
              </w:rPr>
              <w:t>Napredak do kraja 2027.</w:t>
            </w:r>
          </w:p>
        </w:tc>
        <w:tc>
          <w:tcPr>
            <w:tcW w:w="459" w:type="dxa"/>
            <w:shd w:val="clear" w:color="auto" w:fill="2F5496" w:themeFill="accent5" w:themeFillShade="BF"/>
            <w:textDirection w:val="btLr"/>
            <w:vAlign w:val="center"/>
          </w:tcPr>
          <w:p w14:paraId="66277F7F" w14:textId="61184CCD" w:rsidR="0070073E" w:rsidRPr="000C5CA4" w:rsidRDefault="0070073E" w:rsidP="00490474">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cstheme="majorHAnsi"/>
                <w:b w:val="0"/>
                <w:sz w:val="18"/>
                <w:szCs w:val="18"/>
              </w:rPr>
              <w:t xml:space="preserve"> Napredak do kraja 2028.</w:t>
            </w:r>
          </w:p>
        </w:tc>
        <w:tc>
          <w:tcPr>
            <w:tcW w:w="439" w:type="dxa"/>
            <w:shd w:val="clear" w:color="auto" w:fill="2F5496" w:themeFill="accent5" w:themeFillShade="BF"/>
            <w:textDirection w:val="btLr"/>
            <w:vAlign w:val="center"/>
          </w:tcPr>
          <w:p w14:paraId="50D2F267" w14:textId="77777777" w:rsidR="0070073E" w:rsidRPr="000C5CA4" w:rsidRDefault="0070073E" w:rsidP="00490474">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Planirani troškovi u BAM</w:t>
            </w:r>
          </w:p>
        </w:tc>
        <w:tc>
          <w:tcPr>
            <w:tcW w:w="439" w:type="dxa"/>
            <w:shd w:val="clear" w:color="auto" w:fill="2F5496" w:themeFill="accent5" w:themeFillShade="BF"/>
            <w:textDirection w:val="btLr"/>
            <w:vAlign w:val="center"/>
          </w:tcPr>
          <w:p w14:paraId="47AA4AA2" w14:textId="77777777" w:rsidR="0070073E" w:rsidRPr="000C5CA4" w:rsidRDefault="0070073E" w:rsidP="00490474">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Krajnji korisnici po spolu</w:t>
            </w:r>
          </w:p>
        </w:tc>
        <w:tc>
          <w:tcPr>
            <w:tcW w:w="449" w:type="dxa"/>
            <w:shd w:val="clear" w:color="auto" w:fill="2F5496" w:themeFill="accent5" w:themeFillShade="BF"/>
            <w:textDirection w:val="btLr"/>
            <w:vAlign w:val="center"/>
          </w:tcPr>
          <w:p w14:paraId="6AFE144C" w14:textId="77777777" w:rsidR="0070073E" w:rsidRPr="000C5CA4" w:rsidRDefault="0070073E" w:rsidP="00490474">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Izvor verifikacije</w:t>
            </w:r>
          </w:p>
        </w:tc>
      </w:tr>
      <w:tr w:rsidR="0070073E" w:rsidRPr="000C5CA4" w14:paraId="752F96AE"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val="restart"/>
            <w:hideMark/>
          </w:tcPr>
          <w:p w14:paraId="10F38B3B" w14:textId="77777777" w:rsidR="0070073E" w:rsidRPr="000C5CA4" w:rsidRDefault="0070073E" w:rsidP="00490474">
            <w:pPr>
              <w:pStyle w:val="Heading4"/>
              <w:spacing w:line="240" w:lineRule="auto"/>
              <w:outlineLvl w:val="3"/>
              <w:rPr>
                <w:rFonts w:ascii="Cambria" w:hAnsi="Cambria"/>
                <w:i/>
                <w:iCs/>
                <w:color w:val="404040" w:themeColor="text1" w:themeTint="BF"/>
                <w:szCs w:val="18"/>
              </w:rPr>
            </w:pPr>
            <w:r w:rsidRPr="000C5CA4">
              <w:rPr>
                <w:rFonts w:ascii="Cambria" w:hAnsi="Cambria"/>
                <w:szCs w:val="18"/>
              </w:rPr>
              <w:t xml:space="preserve">2.1. Obrazovni sektor </w:t>
            </w:r>
          </w:p>
          <w:p w14:paraId="6A311093" w14:textId="77777777" w:rsidR="0070073E" w:rsidRPr="000C5CA4" w:rsidRDefault="0070073E" w:rsidP="00490474">
            <w:pPr>
              <w:pStyle w:val="Heading4"/>
              <w:spacing w:line="240" w:lineRule="auto"/>
              <w:outlineLvl w:val="3"/>
              <w:rPr>
                <w:rFonts w:ascii="Cambria" w:hAnsi="Cambria"/>
                <w:i/>
                <w:iCs/>
                <w:color w:val="404040" w:themeColor="text1" w:themeTint="BF"/>
                <w:szCs w:val="18"/>
              </w:rPr>
            </w:pPr>
            <w:r w:rsidRPr="000C5CA4">
              <w:rPr>
                <w:rFonts w:ascii="Cambria" w:hAnsi="Cambria"/>
                <w:szCs w:val="18"/>
              </w:rPr>
              <w:t xml:space="preserve">doprinosi </w:t>
            </w:r>
          </w:p>
          <w:p w14:paraId="7755D5CE" w14:textId="77777777" w:rsidR="0070073E" w:rsidRPr="000C5CA4" w:rsidRDefault="0070073E" w:rsidP="00490474">
            <w:pPr>
              <w:pStyle w:val="Heading4"/>
              <w:spacing w:line="240" w:lineRule="auto"/>
              <w:outlineLvl w:val="3"/>
              <w:rPr>
                <w:rFonts w:ascii="Cambria" w:hAnsi="Cambria"/>
                <w:i/>
                <w:iCs/>
                <w:color w:val="404040" w:themeColor="text1" w:themeTint="BF"/>
                <w:szCs w:val="18"/>
              </w:rPr>
            </w:pPr>
            <w:r w:rsidRPr="000C5CA4">
              <w:rPr>
                <w:rFonts w:ascii="Cambria" w:hAnsi="Cambria"/>
                <w:szCs w:val="18"/>
              </w:rPr>
              <w:t>ravnopravnosti spolova</w:t>
            </w:r>
          </w:p>
        </w:tc>
        <w:tc>
          <w:tcPr>
            <w:tcW w:w="2499" w:type="dxa"/>
          </w:tcPr>
          <w:p w14:paraId="32F82A16"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Promocija učešća djevojčica i dječaka u oblasti obrazovanja u kojima su manje zastupljeni</w:t>
            </w:r>
          </w:p>
        </w:tc>
        <w:tc>
          <w:tcPr>
            <w:tcW w:w="1808" w:type="dxa"/>
          </w:tcPr>
          <w:p w14:paraId="75735758"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lang w:val="pl-PL" w:eastAsia="en-US"/>
              </w:rPr>
            </w:pPr>
            <w:r w:rsidRPr="000C5CA4">
              <w:rPr>
                <w:rFonts w:ascii="Cambria" w:hAnsi="Cambria"/>
                <w:sz w:val="18"/>
                <w:szCs w:val="18"/>
              </w:rPr>
              <w:t xml:space="preserve">Kantonalno </w:t>
            </w:r>
            <w:r w:rsidRPr="000C5CA4">
              <w:rPr>
                <w:rFonts w:ascii="Cambria" w:hAnsi="Cambria"/>
                <w:sz w:val="18"/>
                <w:szCs w:val="18"/>
                <w:lang w:val="pl-PL" w:eastAsia="en-US"/>
              </w:rPr>
              <w:t xml:space="preserve">Ministarstvo obrazovanja i nauke, </w:t>
            </w:r>
          </w:p>
          <w:p w14:paraId="64EAC480"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lang w:val="en-US" w:eastAsia="en-US"/>
              </w:rPr>
            </w:pPr>
            <w:r w:rsidRPr="000C5CA4">
              <w:rPr>
                <w:rFonts w:ascii="Cambria" w:hAnsi="Cambria"/>
                <w:sz w:val="18"/>
                <w:szCs w:val="18"/>
                <w:lang w:val="en-US" w:eastAsia="en-US"/>
              </w:rPr>
              <w:t>Koordinacioni odbor</w:t>
            </w:r>
          </w:p>
          <w:p w14:paraId="1D815452"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1722" w:type="dxa"/>
          </w:tcPr>
          <w:p w14:paraId="058C7DE6"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Izrađen i provodi se program promocije u saradnji sa osnovnim školama i drugim servisima </w:t>
            </w:r>
          </w:p>
        </w:tc>
        <w:tc>
          <w:tcPr>
            <w:tcW w:w="1477" w:type="dxa"/>
          </w:tcPr>
          <w:p w14:paraId="79C68531"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64" w:type="dxa"/>
          </w:tcPr>
          <w:p w14:paraId="4FF0A22F"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5D8AC8CD"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3046579C" w14:textId="7C473354"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159BCE2C" w14:textId="52891C12"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154120F0" w14:textId="7106B06F"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39" w:type="dxa"/>
            <w:textDirection w:val="btLr"/>
            <w:vAlign w:val="center"/>
          </w:tcPr>
          <w:p w14:paraId="5CC90B49"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27C2E1A3"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7A56F630"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4F3260F7"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3DB48C2B"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52722A4E" w14:textId="48EA65DA"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 xml:space="preserve">Analizirati obuhvat dječaka i djevojčica u </w:t>
            </w:r>
            <w:r w:rsidRPr="000C5CA4">
              <w:rPr>
                <w:rFonts w:ascii="Cambria" w:hAnsi="Cambria"/>
                <w:sz w:val="18"/>
                <w:szCs w:val="18"/>
              </w:rPr>
              <w:t>programa predškolskog odgoja i obrazovanja pred polazak u osnovu školu</w:t>
            </w:r>
            <w:r>
              <w:rPr>
                <w:rFonts w:ascii="Cambria" w:hAnsi="Cambria"/>
                <w:sz w:val="18"/>
                <w:szCs w:val="18"/>
              </w:rPr>
              <w:t xml:space="preserve"> u cilju povećanja obuhvata programa</w:t>
            </w:r>
          </w:p>
        </w:tc>
        <w:tc>
          <w:tcPr>
            <w:tcW w:w="1808" w:type="dxa"/>
          </w:tcPr>
          <w:p w14:paraId="00CDE6A1"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lang w:val="en-US" w:eastAsia="en-US"/>
              </w:rPr>
            </w:pPr>
            <w:r w:rsidRPr="000C5CA4">
              <w:rPr>
                <w:rFonts w:ascii="Cambria" w:hAnsi="Cambria"/>
                <w:sz w:val="18"/>
                <w:szCs w:val="18"/>
              </w:rPr>
              <w:t xml:space="preserve">Kantonalno </w:t>
            </w:r>
            <w:r w:rsidRPr="000C5CA4">
              <w:rPr>
                <w:rFonts w:ascii="Cambria" w:hAnsi="Cambria"/>
                <w:sz w:val="18"/>
                <w:szCs w:val="18"/>
                <w:lang w:val="en-US" w:eastAsia="en-US"/>
              </w:rPr>
              <w:t xml:space="preserve">Ministarstvo obrazovanja i nauke </w:t>
            </w:r>
          </w:p>
          <w:p w14:paraId="76155E5D"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1722" w:type="dxa"/>
          </w:tcPr>
          <w:p w14:paraId="2CD2189D"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dječaka i djevojčica koji je obuhvaćen predškolskim odgojem</w:t>
            </w:r>
          </w:p>
        </w:tc>
        <w:tc>
          <w:tcPr>
            <w:tcW w:w="1477" w:type="dxa"/>
          </w:tcPr>
          <w:p w14:paraId="13070399"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64" w:type="dxa"/>
          </w:tcPr>
          <w:p w14:paraId="0F21BFC7"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1CC6FBC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18B6BE64" w14:textId="60CF9E04"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35B2D0C7" w14:textId="17EDED4D"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280042F4" w14:textId="1DB56164"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39" w:type="dxa"/>
            <w:textDirection w:val="btLr"/>
            <w:vAlign w:val="center"/>
          </w:tcPr>
          <w:p w14:paraId="24CE819F"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214F7AB8"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0123A30A"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24815FFF"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2A827C7B"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6AEE5113"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Analiza uticaja dodijeljenih stipendija za učenike i učenica u odnosu na (ne)ravnopravnost spolova i (po potrebi) izmijeniti kriterije dodjele</w:t>
            </w:r>
          </w:p>
        </w:tc>
        <w:tc>
          <w:tcPr>
            <w:tcW w:w="1808" w:type="dxa"/>
          </w:tcPr>
          <w:p w14:paraId="53A9304D"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Kantonalno Ministarstvo obrazovanja i nauke </w:t>
            </w:r>
          </w:p>
        </w:tc>
        <w:tc>
          <w:tcPr>
            <w:tcW w:w="1722" w:type="dxa"/>
          </w:tcPr>
          <w:p w14:paraId="1CAED11E"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Analiza izrađena i dostavljena sa preporukama</w:t>
            </w:r>
          </w:p>
          <w:p w14:paraId="799928E3"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broj prijedloga sa ciljem povećanja uticaja stipendija kao mjera za smanjenje horizontalne i vertikalne segregacije na tržištu rada</w:t>
            </w:r>
          </w:p>
        </w:tc>
        <w:tc>
          <w:tcPr>
            <w:tcW w:w="1477" w:type="dxa"/>
          </w:tcPr>
          <w:p w14:paraId="03C28720"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Kontinuirano </w:t>
            </w:r>
          </w:p>
        </w:tc>
        <w:tc>
          <w:tcPr>
            <w:tcW w:w="1364" w:type="dxa"/>
          </w:tcPr>
          <w:p w14:paraId="58C69770"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55AC8219" w14:textId="0E524C1F"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5607CDD3" w14:textId="063F0C7E"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04700234" w14:textId="3BCEFF56"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5811439B" w14:textId="0F265D9D"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39" w:type="dxa"/>
            <w:textDirection w:val="btLr"/>
            <w:vAlign w:val="center"/>
          </w:tcPr>
          <w:p w14:paraId="335B4047"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4EBDC3DA"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610F56CA"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1EDF96FC"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124C8099"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1BEE2196" w14:textId="1603D132" w:rsidR="0070073E" w:rsidRPr="000C5CA4" w:rsidRDefault="0070073E" w:rsidP="002719F1">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 xml:space="preserve">Razvijati GIRLS klubove u osnovnim i srednjim školama s ciljem razvija vještina i promocije </w:t>
            </w:r>
            <w:r w:rsidRPr="000C5CA4">
              <w:rPr>
                <w:rFonts w:ascii="Cambria" w:hAnsi="Cambria"/>
                <w:sz w:val="18"/>
                <w:szCs w:val="18"/>
              </w:rPr>
              <w:t>STEM</w:t>
            </w:r>
            <w:r>
              <w:rPr>
                <w:rFonts w:ascii="Cambria" w:hAnsi="Cambria"/>
                <w:sz w:val="18"/>
                <w:szCs w:val="18"/>
              </w:rPr>
              <w:t>-a</w:t>
            </w:r>
          </w:p>
        </w:tc>
        <w:tc>
          <w:tcPr>
            <w:tcW w:w="1808" w:type="dxa"/>
          </w:tcPr>
          <w:p w14:paraId="198B2D38"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Ministarstvo obrazovanja i nauke, NVO sektor, donatori</w:t>
            </w:r>
          </w:p>
        </w:tc>
        <w:tc>
          <w:tcPr>
            <w:tcW w:w="1722" w:type="dxa"/>
          </w:tcPr>
          <w:p w14:paraId="0B5279E4" w14:textId="544F419D"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 xml:space="preserve">% obuhvata djevojčica </w:t>
            </w:r>
          </w:p>
        </w:tc>
        <w:tc>
          <w:tcPr>
            <w:tcW w:w="1477" w:type="dxa"/>
          </w:tcPr>
          <w:p w14:paraId="761ACA4F" w14:textId="44BC15E3"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2719F1">
              <w:rPr>
                <w:rFonts w:ascii="Cambria" w:hAnsi="Cambria"/>
                <w:sz w:val="18"/>
                <w:szCs w:val="18"/>
              </w:rPr>
              <w:t>Kontinuirano</w:t>
            </w:r>
          </w:p>
        </w:tc>
        <w:tc>
          <w:tcPr>
            <w:tcW w:w="1364" w:type="dxa"/>
          </w:tcPr>
          <w:p w14:paraId="7CD03886" w14:textId="75B183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2719F1">
              <w:rPr>
                <w:rFonts w:ascii="Cambria" w:hAnsi="Cambria"/>
                <w:sz w:val="18"/>
                <w:szCs w:val="18"/>
              </w:rPr>
              <w:t>Sredstva za provođenje GAP</w:t>
            </w:r>
          </w:p>
        </w:tc>
        <w:tc>
          <w:tcPr>
            <w:tcW w:w="459" w:type="dxa"/>
            <w:textDirection w:val="btLr"/>
            <w:vAlign w:val="center"/>
          </w:tcPr>
          <w:p w14:paraId="5B156863" w14:textId="6EE1AC26"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5F52739B" w14:textId="62962850"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7929F2BF" w14:textId="35955E4E"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595289BD" w14:textId="3E4F96A0"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39" w:type="dxa"/>
            <w:textDirection w:val="btLr"/>
            <w:vAlign w:val="center"/>
          </w:tcPr>
          <w:p w14:paraId="5E6FC315"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009BEDDA"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790062EA"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2D3E31B8"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726E5185" w14:textId="77777777" w:rsidR="0070073E" w:rsidRPr="000C5CA4" w:rsidRDefault="0070073E" w:rsidP="00490474">
            <w:pPr>
              <w:pStyle w:val="Heading4"/>
              <w:spacing w:line="240" w:lineRule="auto"/>
              <w:outlineLvl w:val="3"/>
              <w:rPr>
                <w:rFonts w:ascii="Cambria" w:hAnsi="Cambria"/>
                <w:b/>
                <w:smallCaps/>
                <w:szCs w:val="18"/>
              </w:rPr>
            </w:pPr>
          </w:p>
        </w:tc>
        <w:tc>
          <w:tcPr>
            <w:tcW w:w="2499" w:type="dxa"/>
          </w:tcPr>
          <w:p w14:paraId="0D3A41BF" w14:textId="47C48B2A"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Pravilnik o sticanju i korištenju akademskih titula, stručnih i naučnih zvanja na visokoškolskim ustanovama na području TK</w:t>
            </w:r>
            <w:r>
              <w:rPr>
                <w:rFonts w:ascii="Cambria" w:hAnsi="Cambria"/>
                <w:sz w:val="18"/>
                <w:szCs w:val="18"/>
              </w:rPr>
              <w:t xml:space="preserve"> utvrđuje mogućnost  odabira muškog ili ženskog gramatičkog roda</w:t>
            </w:r>
          </w:p>
        </w:tc>
        <w:tc>
          <w:tcPr>
            <w:tcW w:w="1808" w:type="dxa"/>
          </w:tcPr>
          <w:p w14:paraId="0EF8FB8E"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Kantonalno Ministarstvo obrazovanja i nauke </w:t>
            </w:r>
          </w:p>
        </w:tc>
        <w:tc>
          <w:tcPr>
            <w:tcW w:w="1722" w:type="dxa"/>
          </w:tcPr>
          <w:p w14:paraId="00D72EC9" w14:textId="5A1BA332"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1477" w:type="dxa"/>
          </w:tcPr>
          <w:p w14:paraId="5A2A9156" w14:textId="6010171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2719F1">
              <w:rPr>
                <w:rFonts w:ascii="Cambria" w:hAnsi="Cambria"/>
                <w:sz w:val="18"/>
                <w:szCs w:val="18"/>
              </w:rPr>
              <w:t>Kontinuirano</w:t>
            </w:r>
          </w:p>
        </w:tc>
        <w:tc>
          <w:tcPr>
            <w:tcW w:w="1364" w:type="dxa"/>
          </w:tcPr>
          <w:p w14:paraId="2E16728D"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2E355627"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4F36E238"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07916633"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700A5C8F"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5464426F"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25558813"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5D51FC05"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468B8910"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46063AE2"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780DBE2C" w14:textId="3F1C72AC"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Izrada r</w:t>
            </w:r>
            <w:r w:rsidRPr="004F18A9">
              <w:rPr>
                <w:rFonts w:ascii="Cambria" w:hAnsi="Cambria"/>
                <w:sz w:val="18"/>
                <w:szCs w:val="18"/>
              </w:rPr>
              <w:t xml:space="preserve">odno osjetljivi edukativni materijali </w:t>
            </w:r>
            <w:r>
              <w:rPr>
                <w:rFonts w:ascii="Cambria" w:hAnsi="Cambria"/>
                <w:sz w:val="18"/>
                <w:szCs w:val="18"/>
              </w:rPr>
              <w:t>i o</w:t>
            </w:r>
            <w:r w:rsidRPr="000C5CA4">
              <w:rPr>
                <w:rFonts w:ascii="Cambria" w:hAnsi="Cambria"/>
                <w:sz w:val="18"/>
                <w:szCs w:val="18"/>
              </w:rPr>
              <w:t>buke za nastavnike o rodnoj ravnopravnosti u učionici</w:t>
            </w:r>
          </w:p>
        </w:tc>
        <w:tc>
          <w:tcPr>
            <w:tcW w:w="1808" w:type="dxa"/>
          </w:tcPr>
          <w:p w14:paraId="4245A887" w14:textId="629753A2"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Ministarstvo obrazovanja, Pedagoški zavod</w:t>
            </w:r>
          </w:p>
        </w:tc>
        <w:tc>
          <w:tcPr>
            <w:tcW w:w="1722" w:type="dxa"/>
          </w:tcPr>
          <w:p w14:paraId="055F1757"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Redovne edukacije o prepoznavanju i eliminaciji rodnih stereotipa u svakodnevnom radu u osnovnim i srednjim školama. </w:t>
            </w:r>
          </w:p>
          <w:p w14:paraId="2C0F2558"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Broj obučenih nastavnika; broj škola koje učestvuju</w:t>
            </w:r>
          </w:p>
        </w:tc>
        <w:tc>
          <w:tcPr>
            <w:tcW w:w="1477" w:type="dxa"/>
          </w:tcPr>
          <w:p w14:paraId="5C187869" w14:textId="65A8E92F"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Kontinuirano</w:t>
            </w:r>
          </w:p>
        </w:tc>
        <w:tc>
          <w:tcPr>
            <w:tcW w:w="1364" w:type="dxa"/>
          </w:tcPr>
          <w:p w14:paraId="31D02D03" w14:textId="7F27811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Sredstva za provođenje GAP</w:t>
            </w:r>
          </w:p>
        </w:tc>
        <w:tc>
          <w:tcPr>
            <w:tcW w:w="459" w:type="dxa"/>
            <w:textDirection w:val="btLr"/>
            <w:vAlign w:val="center"/>
          </w:tcPr>
          <w:p w14:paraId="1A5B8FE7" w14:textId="608C946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45AC5328" w14:textId="0C261F18"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7EFEEEE2" w14:textId="2D838FDF"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151F4DA3" w14:textId="2B3321AC"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39" w:type="dxa"/>
            <w:textDirection w:val="btLr"/>
            <w:vAlign w:val="center"/>
          </w:tcPr>
          <w:p w14:paraId="22684397"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14F5C303"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334704AF"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4F321187"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val="restart"/>
            <w:hideMark/>
          </w:tcPr>
          <w:p w14:paraId="7215FC55" w14:textId="77777777" w:rsidR="0070073E" w:rsidRPr="000C5CA4" w:rsidRDefault="0070073E" w:rsidP="00490474">
            <w:pPr>
              <w:pStyle w:val="Heading4"/>
              <w:spacing w:line="240" w:lineRule="auto"/>
              <w:outlineLvl w:val="3"/>
              <w:rPr>
                <w:rFonts w:ascii="Cambria" w:hAnsi="Cambria"/>
                <w:i/>
                <w:iCs/>
                <w:color w:val="404040" w:themeColor="text1" w:themeTint="BF"/>
                <w:szCs w:val="18"/>
              </w:rPr>
            </w:pPr>
            <w:r w:rsidRPr="000C5CA4">
              <w:rPr>
                <w:rFonts w:ascii="Cambria" w:hAnsi="Cambria"/>
                <w:szCs w:val="18"/>
              </w:rPr>
              <w:t>2.2. Smanjen jaz između žena i muškaraca na tržištu rada</w:t>
            </w:r>
          </w:p>
        </w:tc>
        <w:tc>
          <w:tcPr>
            <w:tcW w:w="2499" w:type="dxa"/>
          </w:tcPr>
          <w:p w14:paraId="507E3AB2" w14:textId="3718CE65" w:rsidR="0070073E" w:rsidRPr="000C5CA4" w:rsidRDefault="0070073E" w:rsidP="00490474">
            <w:pPr>
              <w:widowControl/>
              <w:tabs>
                <w:tab w:val="clear" w:pos="5103"/>
              </w:tabs>
              <w:autoSpaceDE/>
              <w:autoSpaceDN/>
              <w:spacing w:line="240" w:lineRule="auto"/>
              <w:ind w:right="0"/>
              <w:jc w:val="left"/>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Uvođenje grant programa za žensko poduzetništvo</w:t>
            </w:r>
            <w:r>
              <w:rPr>
                <w:rFonts w:ascii="Cambria" w:eastAsia="Times New Roman" w:hAnsi="Cambria"/>
                <w:sz w:val="18"/>
                <w:szCs w:val="18"/>
                <w:lang w:eastAsia="bs-Latn-BA"/>
              </w:rPr>
              <w:t xml:space="preserve"> i program aktivnih mjera zapošljavanja žena</w:t>
            </w:r>
          </w:p>
          <w:p w14:paraId="159E9536"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1808" w:type="dxa"/>
          </w:tcPr>
          <w:p w14:paraId="7FCEE439" w14:textId="77777777" w:rsidR="0070073E" w:rsidRPr="000C5CA4" w:rsidRDefault="0070073E" w:rsidP="00490474">
            <w:pPr>
              <w:widowControl/>
              <w:tabs>
                <w:tab w:val="clear" w:pos="5103"/>
              </w:tabs>
              <w:autoSpaceDE/>
              <w:autoSpaceDN/>
              <w:spacing w:line="240" w:lineRule="auto"/>
              <w:ind w:right="0"/>
              <w:jc w:val="left"/>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Ministarstvo privrede, Služba za zapošljavanje TK</w:t>
            </w:r>
          </w:p>
          <w:p w14:paraId="3F1653F8"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1722" w:type="dxa"/>
          </w:tcPr>
          <w:p w14:paraId="56A03546" w14:textId="77777777" w:rsidR="0070073E" w:rsidRPr="000C5CA4" w:rsidRDefault="0070073E" w:rsidP="00490474">
            <w:pPr>
              <w:widowControl/>
              <w:tabs>
                <w:tab w:val="clear" w:pos="5103"/>
              </w:tabs>
              <w:autoSpaceDE/>
              <w:autoSpaceDN/>
              <w:spacing w:line="240" w:lineRule="auto"/>
              <w:ind w:right="0"/>
              <w:jc w:val="left"/>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Broj odobrenih grantova; broj novoosnovanih biznisa</w:t>
            </w:r>
          </w:p>
          <w:p w14:paraId="5B2892A6"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1477" w:type="dxa"/>
          </w:tcPr>
          <w:p w14:paraId="3E8ECA70"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64" w:type="dxa"/>
          </w:tcPr>
          <w:p w14:paraId="06F90641"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1A719DBE" w14:textId="00EE832B"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13BD495C" w14:textId="239E98F2"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5FB3FEE6" w14:textId="1E5DDAFB"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1746AB67" w14:textId="6AC7926A"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439" w:type="dxa"/>
            <w:textDirection w:val="btLr"/>
            <w:vAlign w:val="center"/>
          </w:tcPr>
          <w:p w14:paraId="2AD26CFC"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65ABBEB6"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08C02AA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12A24E91"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4ED74A59"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344C1E29" w14:textId="33C285E1"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Izraditi detaljnu analizu uticaja aktivnih mjera zapošljavanja na smanjenje jaza između žena i muškaraca na tržištu rada u periodu od 5 godina</w:t>
            </w:r>
            <w:r>
              <w:rPr>
                <w:rFonts w:ascii="Cambria" w:hAnsi="Cambria"/>
                <w:sz w:val="18"/>
                <w:szCs w:val="18"/>
              </w:rPr>
              <w:t xml:space="preserve"> sa preporukama</w:t>
            </w:r>
          </w:p>
        </w:tc>
        <w:tc>
          <w:tcPr>
            <w:tcW w:w="1808" w:type="dxa"/>
          </w:tcPr>
          <w:p w14:paraId="672DDEF6"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Služba za zapošljavanje TK</w:t>
            </w:r>
          </w:p>
        </w:tc>
        <w:tc>
          <w:tcPr>
            <w:tcW w:w="1722" w:type="dxa"/>
          </w:tcPr>
          <w:p w14:paraId="65CF7BED"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Analiza izrađena i dostavljena Komisiji </w:t>
            </w:r>
          </w:p>
          <w:p w14:paraId="63D216E6"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prijedloga za smanjenje jaza žena i muškaraca na tržištu rada</w:t>
            </w:r>
          </w:p>
        </w:tc>
        <w:tc>
          <w:tcPr>
            <w:tcW w:w="1477" w:type="dxa"/>
          </w:tcPr>
          <w:p w14:paraId="0DC573AA"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Kontinuirano svake godine</w:t>
            </w:r>
          </w:p>
        </w:tc>
        <w:tc>
          <w:tcPr>
            <w:tcW w:w="1364" w:type="dxa"/>
          </w:tcPr>
          <w:p w14:paraId="6AF2E8C4"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03D8A742"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299552CA" w14:textId="4DB2D142"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6095D19E" w14:textId="60129F46"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59" w:type="dxa"/>
            <w:textDirection w:val="btLr"/>
            <w:vAlign w:val="center"/>
          </w:tcPr>
          <w:p w14:paraId="6E978A1D" w14:textId="45753984"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Pr>
                <w:rFonts w:ascii="Cambria" w:hAnsi="Cambria"/>
                <w:sz w:val="18"/>
                <w:szCs w:val="18"/>
              </w:rPr>
              <w:t>x</w:t>
            </w:r>
          </w:p>
        </w:tc>
        <w:tc>
          <w:tcPr>
            <w:tcW w:w="439" w:type="dxa"/>
            <w:textDirection w:val="btLr"/>
            <w:vAlign w:val="center"/>
          </w:tcPr>
          <w:p w14:paraId="2E63A1F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3F4A63B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23E13B07"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53777A65"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77ACCE0A"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51B2F436" w14:textId="4896D2EB" w:rsidR="0070073E" w:rsidRPr="00036CB0" w:rsidRDefault="0070073E" w:rsidP="00036CB0">
            <w:pPr>
              <w:widowControl/>
              <w:tabs>
                <w:tab w:val="clear" w:pos="5103"/>
              </w:tabs>
              <w:autoSpaceDE/>
              <w:autoSpaceDN/>
              <w:spacing w:line="240" w:lineRule="auto"/>
              <w:ind w:right="0"/>
              <w:jc w:val="left"/>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Izrada godišnjih izvještaja o spolnoj strukturi zaposlenih po sektorima</w:t>
            </w:r>
          </w:p>
        </w:tc>
        <w:tc>
          <w:tcPr>
            <w:tcW w:w="1808" w:type="dxa"/>
          </w:tcPr>
          <w:p w14:paraId="594FA2DE" w14:textId="77777777" w:rsidR="0070073E" w:rsidRPr="000C5CA4" w:rsidRDefault="0070073E" w:rsidP="00490474">
            <w:pPr>
              <w:widowControl/>
              <w:tabs>
                <w:tab w:val="clear" w:pos="5103"/>
              </w:tabs>
              <w:autoSpaceDE/>
              <w:autoSpaceDN/>
              <w:spacing w:line="240" w:lineRule="auto"/>
              <w:ind w:right="0"/>
              <w:jc w:val="left"/>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Ministarstvo rada i socijalne politike TK</w:t>
            </w:r>
          </w:p>
          <w:p w14:paraId="5F280406"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1722" w:type="dxa"/>
          </w:tcPr>
          <w:p w14:paraId="1D2F512B"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Broj dostavljenih izvještaja</w:t>
            </w:r>
          </w:p>
        </w:tc>
        <w:tc>
          <w:tcPr>
            <w:tcW w:w="1477" w:type="dxa"/>
          </w:tcPr>
          <w:p w14:paraId="3B49A32E"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Oktobar svake godine.</w:t>
            </w:r>
          </w:p>
        </w:tc>
        <w:tc>
          <w:tcPr>
            <w:tcW w:w="1364" w:type="dxa"/>
          </w:tcPr>
          <w:p w14:paraId="1305FD45"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67D20692"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7F530C51"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300C743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68D428E4"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40CB4CD1"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524EB841"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30FF76A6"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40436956"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299F6875" w14:textId="77777777" w:rsidR="0070073E" w:rsidRPr="000C5CA4" w:rsidRDefault="0070073E" w:rsidP="00490474">
            <w:pPr>
              <w:pStyle w:val="Heading4"/>
              <w:spacing w:line="240" w:lineRule="auto"/>
              <w:outlineLvl w:val="3"/>
              <w:rPr>
                <w:rFonts w:ascii="Cambria" w:hAnsi="Cambria"/>
                <w:b/>
                <w:smallCaps/>
                <w:szCs w:val="18"/>
              </w:rPr>
            </w:pPr>
          </w:p>
        </w:tc>
        <w:tc>
          <w:tcPr>
            <w:tcW w:w="2499" w:type="dxa"/>
          </w:tcPr>
          <w:p w14:paraId="63771C54"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Analizirati doprinos poticaja Vlade TK i donijeti mjere kako bi se poticaji doprinosili razvoju poduzetništva manje zastupljenog spola</w:t>
            </w:r>
          </w:p>
        </w:tc>
        <w:tc>
          <w:tcPr>
            <w:tcW w:w="1808" w:type="dxa"/>
          </w:tcPr>
          <w:p w14:paraId="6B86BBD2" w14:textId="5D2654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Ministarstvo privrede</w:t>
            </w:r>
            <w:r>
              <w:rPr>
                <w:rFonts w:ascii="Cambria" w:hAnsi="Cambria"/>
                <w:sz w:val="18"/>
                <w:szCs w:val="18"/>
              </w:rPr>
              <w:t xml:space="preserve"> </w:t>
            </w:r>
            <w:r w:rsidRPr="000C5CA4">
              <w:rPr>
                <w:rFonts w:ascii="Cambria" w:hAnsi="Cambria"/>
                <w:sz w:val="18"/>
                <w:szCs w:val="18"/>
              </w:rPr>
              <w:t xml:space="preserve">TK </w:t>
            </w:r>
          </w:p>
        </w:tc>
        <w:tc>
          <w:tcPr>
            <w:tcW w:w="1722" w:type="dxa"/>
          </w:tcPr>
          <w:p w14:paraId="2AE06A6A"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Registar poticaja sadrži informacije o spolu direktnih i indirektnih korisnika poticaja</w:t>
            </w:r>
          </w:p>
          <w:p w14:paraId="7E5F398C"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identificirani problema za pristup poticajima za manje zastupljen spol, uključujući i ranjive grupe manje zastupljenog spola</w:t>
            </w:r>
          </w:p>
          <w:p w14:paraId="262FB648"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kriterija koji je izmijenjen sa ciljem povećanja jednakih mogućnosti za pristup poticajima</w:t>
            </w:r>
          </w:p>
          <w:p w14:paraId="0F70BCE7"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i iznos posebnih programa za manje zastupljen spol</w:t>
            </w:r>
          </w:p>
        </w:tc>
        <w:tc>
          <w:tcPr>
            <w:tcW w:w="1477" w:type="dxa"/>
          </w:tcPr>
          <w:p w14:paraId="730BAE1A"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Kraj svake godine. </w:t>
            </w:r>
          </w:p>
        </w:tc>
        <w:tc>
          <w:tcPr>
            <w:tcW w:w="1364" w:type="dxa"/>
          </w:tcPr>
          <w:p w14:paraId="22230087"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i partnerstvo</w:t>
            </w:r>
          </w:p>
        </w:tc>
        <w:tc>
          <w:tcPr>
            <w:tcW w:w="459" w:type="dxa"/>
            <w:textDirection w:val="btLr"/>
            <w:vAlign w:val="center"/>
          </w:tcPr>
          <w:p w14:paraId="33D7EFD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7E19F3A8"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44A57655"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1AB96FED"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584A9057"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3F903638"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1A7CC94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3A9C47E8"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6D9AD6C7"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682E91FE"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Promovirati korištenje roditeljskog odsustva od strane očeva djece</w:t>
            </w:r>
          </w:p>
        </w:tc>
        <w:tc>
          <w:tcPr>
            <w:tcW w:w="1808" w:type="dxa"/>
          </w:tcPr>
          <w:p w14:paraId="5DA3A74C"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Kantonalno Ministarstvo za rad, socijalnu politiku i povratak  </w:t>
            </w:r>
          </w:p>
        </w:tc>
        <w:tc>
          <w:tcPr>
            <w:tcW w:w="1722" w:type="dxa"/>
          </w:tcPr>
          <w:p w14:paraId="6A55E945"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 promotivnih aktivnost </w:t>
            </w:r>
          </w:p>
          <w:p w14:paraId="7CE2F406"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očeva kao korisnika roditeljskog osnova u odnosu na % majki</w:t>
            </w:r>
          </w:p>
        </w:tc>
        <w:tc>
          <w:tcPr>
            <w:tcW w:w="1477" w:type="dxa"/>
          </w:tcPr>
          <w:p w14:paraId="29B882F7"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64" w:type="dxa"/>
          </w:tcPr>
          <w:p w14:paraId="26851014"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i partnerstvo</w:t>
            </w:r>
          </w:p>
        </w:tc>
        <w:tc>
          <w:tcPr>
            <w:tcW w:w="459" w:type="dxa"/>
            <w:textDirection w:val="btLr"/>
            <w:vAlign w:val="center"/>
          </w:tcPr>
          <w:p w14:paraId="59C69AA4"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33277B71"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0CB76D2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73E429F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14B7E636"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6E075DD0"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2BA6D73F"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6751B01C"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187F55B7"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68081D6D"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Promovirati jednake mogućnosti za žene i muškarce u svim konkursima koje objavljuje skupština, vlada, Ministarstva i druga tijela vlade </w:t>
            </w:r>
          </w:p>
        </w:tc>
        <w:tc>
          <w:tcPr>
            <w:tcW w:w="1808" w:type="dxa"/>
          </w:tcPr>
          <w:p w14:paraId="1A5DD789"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Sve službe skupštine, vlada, Ministarstva i druga tijela vlade</w:t>
            </w:r>
          </w:p>
        </w:tc>
        <w:tc>
          <w:tcPr>
            <w:tcW w:w="1722" w:type="dxa"/>
          </w:tcPr>
          <w:p w14:paraId="1D225CB1"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U svim konkursima jasno navedeno: „Ohrabruju se osobe oba spola da se prijave na ovaj konkurs. U okviru ovog konkursa biti će osigurane jednake mogućnosti za sve osobe bez diskriminacije po bilo kojem osnovu.“</w:t>
            </w:r>
          </w:p>
        </w:tc>
        <w:tc>
          <w:tcPr>
            <w:tcW w:w="1477" w:type="dxa"/>
          </w:tcPr>
          <w:p w14:paraId="4A4AB570"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64" w:type="dxa"/>
          </w:tcPr>
          <w:p w14:paraId="2F1F59F0"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i partnerstvo</w:t>
            </w:r>
          </w:p>
        </w:tc>
        <w:tc>
          <w:tcPr>
            <w:tcW w:w="459" w:type="dxa"/>
            <w:textDirection w:val="btLr"/>
            <w:vAlign w:val="center"/>
          </w:tcPr>
          <w:p w14:paraId="60CA1444"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43786ADD"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7DA88B48"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45F431A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05873C89"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3029F437"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548AAE68"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2A9BAA80"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43DE0454"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3758E268" w14:textId="51D0746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Organizovati programa prekvalifkacije</w:t>
            </w:r>
            <w:r w:rsidRPr="000C5CA4">
              <w:rPr>
                <w:rFonts w:ascii="Cambria" w:hAnsi="Cambria"/>
                <w:sz w:val="18"/>
                <w:szCs w:val="18"/>
              </w:rPr>
              <w:t xml:space="preserve"> za uključivanje marginaliziranih grupa na tržište rada (osobe koje brinu za stare i iznemogle, jednohraniteljske porodice, porodice sa djecom sa invaliditetom, pripadnici/e nacionalnih manjina) sa prijedlogom mjera</w:t>
            </w:r>
          </w:p>
        </w:tc>
        <w:tc>
          <w:tcPr>
            <w:tcW w:w="1808" w:type="dxa"/>
          </w:tcPr>
          <w:p w14:paraId="67F28C17"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Služba za zapošljavanje i Kantonalno Ministarstvo za rad, socijalnu politiku i povratak  </w:t>
            </w:r>
          </w:p>
        </w:tc>
        <w:tc>
          <w:tcPr>
            <w:tcW w:w="1722" w:type="dxa"/>
          </w:tcPr>
          <w:p w14:paraId="5EF5462A"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#utvrđenih prepreka i predloženih mjera</w:t>
            </w:r>
          </w:p>
          <w:p w14:paraId="0291A41C" w14:textId="0AEC68ED"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osoba</w:t>
            </w:r>
            <w:r>
              <w:rPr>
                <w:rFonts w:ascii="Cambria" w:hAnsi="Cambria"/>
                <w:sz w:val="18"/>
                <w:szCs w:val="18"/>
              </w:rPr>
              <w:t>, razvrstanih po spolu,</w:t>
            </w:r>
            <w:r w:rsidRPr="000C5CA4">
              <w:rPr>
                <w:rFonts w:ascii="Cambria" w:hAnsi="Cambria"/>
                <w:sz w:val="18"/>
                <w:szCs w:val="18"/>
              </w:rPr>
              <w:t xml:space="preserve"> koje su uključene na tržište rada</w:t>
            </w:r>
          </w:p>
        </w:tc>
        <w:tc>
          <w:tcPr>
            <w:tcW w:w="1477" w:type="dxa"/>
          </w:tcPr>
          <w:p w14:paraId="28517A66" w14:textId="1E5CC683"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Kontinuirano</w:t>
            </w:r>
          </w:p>
        </w:tc>
        <w:tc>
          <w:tcPr>
            <w:tcW w:w="1364" w:type="dxa"/>
          </w:tcPr>
          <w:p w14:paraId="58D165AF"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7436D81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770DE62A"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6B43CF6B"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237926F2"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68FDF97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725950A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6779115A"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4603D96E"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val="restart"/>
            <w:hideMark/>
          </w:tcPr>
          <w:p w14:paraId="30E8AD31" w14:textId="77777777" w:rsidR="0070073E" w:rsidRPr="000C5CA4" w:rsidRDefault="0070073E" w:rsidP="00490474">
            <w:pPr>
              <w:pStyle w:val="Heading4"/>
              <w:spacing w:line="240" w:lineRule="auto"/>
              <w:outlineLvl w:val="3"/>
              <w:rPr>
                <w:rFonts w:ascii="Cambria" w:hAnsi="Cambria"/>
                <w:szCs w:val="18"/>
              </w:rPr>
            </w:pPr>
            <w:r w:rsidRPr="000C5CA4">
              <w:rPr>
                <w:rFonts w:ascii="Cambria" w:hAnsi="Cambria"/>
                <w:szCs w:val="18"/>
              </w:rPr>
              <w:lastRenderedPageBreak/>
              <w:t>2.3. Prevencija i zaštita od nasilja u porodici i nasilja na osnovu spola</w:t>
            </w:r>
          </w:p>
          <w:p w14:paraId="69490F95"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32E7BEB7"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Doprinos prevenciji nasilja nad ženama i nasilja u porodici obilježavanjem Međunarodna kampanja 16 dana aktivizma u borbi protiv nasilja (25.11. – 10.12.)</w:t>
            </w:r>
          </w:p>
        </w:tc>
        <w:tc>
          <w:tcPr>
            <w:tcW w:w="1808" w:type="dxa"/>
          </w:tcPr>
          <w:p w14:paraId="7F8C486B"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Koordinaciono tijelo TK i Komisija za jednakopravnost spolova</w:t>
            </w:r>
          </w:p>
        </w:tc>
        <w:tc>
          <w:tcPr>
            <w:tcW w:w="1722" w:type="dxa"/>
          </w:tcPr>
          <w:p w14:paraId="43C33E30"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Kanton provodi aktivnosti u okviru kampanje</w:t>
            </w:r>
          </w:p>
        </w:tc>
        <w:tc>
          <w:tcPr>
            <w:tcW w:w="1477" w:type="dxa"/>
          </w:tcPr>
          <w:p w14:paraId="34358118"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64" w:type="dxa"/>
          </w:tcPr>
          <w:p w14:paraId="03A63E67"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1BB4B03D"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7DD9DE30"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2A2DC2F6"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389D2405"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45B683BB"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05E87607"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42049CE5"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0139002C"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1CB91B71" w14:textId="77777777" w:rsidR="0070073E" w:rsidRPr="000C5CA4" w:rsidRDefault="0070073E" w:rsidP="00490474">
            <w:pPr>
              <w:pStyle w:val="Heading4"/>
              <w:spacing w:line="240" w:lineRule="auto"/>
              <w:outlineLvl w:val="3"/>
              <w:rPr>
                <w:rFonts w:ascii="Cambria" w:hAnsi="Cambria"/>
                <w:smallCaps/>
                <w:szCs w:val="18"/>
              </w:rPr>
            </w:pPr>
          </w:p>
        </w:tc>
        <w:tc>
          <w:tcPr>
            <w:tcW w:w="2499" w:type="dxa"/>
          </w:tcPr>
          <w:p w14:paraId="045E86A9"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Organizovati obuke na temu diskriminacije na osnovu spola i svih oblika nasilja na osnovu spola za sve službenike TK</w:t>
            </w:r>
          </w:p>
        </w:tc>
        <w:tc>
          <w:tcPr>
            <w:tcW w:w="1808" w:type="dxa"/>
          </w:tcPr>
          <w:p w14:paraId="3960B53F" w14:textId="631F7563"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555EC0">
              <w:rPr>
                <w:rFonts w:ascii="Cambria" w:hAnsi="Cambria"/>
                <w:sz w:val="18"/>
                <w:szCs w:val="18"/>
              </w:rPr>
              <w:t xml:space="preserve">Ministarstvo za rad, socijalnu politiku i povratak  </w:t>
            </w:r>
          </w:p>
        </w:tc>
        <w:tc>
          <w:tcPr>
            <w:tcW w:w="1722" w:type="dxa"/>
          </w:tcPr>
          <w:p w14:paraId="4E160009"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Članovi i članice koordinacionog odbora mogu prepoznati i odgovoriti na sve oblike diskriminacije na osnovu spola</w:t>
            </w:r>
          </w:p>
        </w:tc>
        <w:tc>
          <w:tcPr>
            <w:tcW w:w="1477" w:type="dxa"/>
          </w:tcPr>
          <w:p w14:paraId="3D0C446B"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U toku 2025-2026. godine</w:t>
            </w:r>
          </w:p>
        </w:tc>
        <w:tc>
          <w:tcPr>
            <w:tcW w:w="1364" w:type="dxa"/>
          </w:tcPr>
          <w:p w14:paraId="1AA98CF9"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i partnerstvo</w:t>
            </w:r>
          </w:p>
        </w:tc>
        <w:tc>
          <w:tcPr>
            <w:tcW w:w="459" w:type="dxa"/>
            <w:textDirection w:val="btLr"/>
            <w:vAlign w:val="center"/>
          </w:tcPr>
          <w:p w14:paraId="7591E699"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794879FC"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6C7CA2D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04811544"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5670A5E7"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3A9975CC"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2C48D5A6"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1ECFBCA1"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val="restart"/>
          </w:tcPr>
          <w:p w14:paraId="02C85AAD" w14:textId="77777777" w:rsidR="0070073E" w:rsidRPr="000C5CA4" w:rsidRDefault="0070073E" w:rsidP="00490474">
            <w:pPr>
              <w:pStyle w:val="Heading4"/>
              <w:spacing w:line="240" w:lineRule="auto"/>
              <w:outlineLvl w:val="3"/>
              <w:rPr>
                <w:rFonts w:ascii="Cambria" w:hAnsi="Cambria"/>
                <w:i/>
                <w:iCs/>
                <w:color w:val="404040" w:themeColor="text1" w:themeTint="BF"/>
                <w:szCs w:val="18"/>
              </w:rPr>
            </w:pPr>
            <w:r w:rsidRPr="000C5CA4">
              <w:rPr>
                <w:rFonts w:ascii="Cambria" w:hAnsi="Cambria"/>
                <w:szCs w:val="18"/>
              </w:rPr>
              <w:t xml:space="preserve">2.4. Osigurana ravnopravna zastupljenost osoba muškog i ženskog spola u tijelima nad kojima </w:t>
            </w:r>
            <w:r w:rsidRPr="000C5CA4">
              <w:rPr>
                <w:rFonts w:ascii="Cambria" w:hAnsi="Cambria"/>
                <w:szCs w:val="18"/>
                <w:u w:color="92D050"/>
              </w:rPr>
              <w:t>Kanton</w:t>
            </w:r>
            <w:r w:rsidRPr="000C5CA4">
              <w:rPr>
                <w:rFonts w:ascii="Cambria" w:hAnsi="Cambria"/>
                <w:szCs w:val="18"/>
              </w:rPr>
              <w:t xml:space="preserve"> </w:t>
            </w:r>
            <w:r w:rsidRPr="000C5CA4">
              <w:rPr>
                <w:rFonts w:ascii="Cambria" w:hAnsi="Cambria"/>
                <w:szCs w:val="18"/>
              </w:rPr>
              <w:lastRenderedPageBreak/>
              <w:t>vrši nadzor</w:t>
            </w:r>
          </w:p>
        </w:tc>
        <w:tc>
          <w:tcPr>
            <w:tcW w:w="2499" w:type="dxa"/>
          </w:tcPr>
          <w:p w14:paraId="5B4B4549"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lastRenderedPageBreak/>
              <w:t>Osigurati jasne kriterije kod imenovanja komisija Skupštine kada u je pitanju jednako učešće žena i muškaraca</w:t>
            </w:r>
          </w:p>
        </w:tc>
        <w:tc>
          <w:tcPr>
            <w:tcW w:w="1808" w:type="dxa"/>
          </w:tcPr>
          <w:p w14:paraId="71ADEDD3"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Stručna služba Skupštine </w:t>
            </w:r>
          </w:p>
        </w:tc>
        <w:tc>
          <w:tcPr>
            <w:tcW w:w="1722" w:type="dxa"/>
          </w:tcPr>
          <w:p w14:paraId="3889A340"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Analiza izrađena sa prijedlogom mjera; % žena i muškaraca koji se imenuju u komisije nakon donošenja novih kriterija</w:t>
            </w:r>
          </w:p>
        </w:tc>
        <w:tc>
          <w:tcPr>
            <w:tcW w:w="1477" w:type="dxa"/>
          </w:tcPr>
          <w:p w14:paraId="1348A1CC"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Kraj 2025. godine</w:t>
            </w:r>
          </w:p>
        </w:tc>
        <w:tc>
          <w:tcPr>
            <w:tcW w:w="1364" w:type="dxa"/>
          </w:tcPr>
          <w:p w14:paraId="6473D6E4"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4B07C31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03D52B05"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23E01F7B"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68248228"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742052C0"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17137BE0"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6183F80C"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0383F2EC"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22841EEB" w14:textId="77777777" w:rsidR="0070073E" w:rsidRPr="000C5CA4" w:rsidRDefault="0070073E" w:rsidP="00490474">
            <w:pPr>
              <w:spacing w:line="240" w:lineRule="auto"/>
              <w:jc w:val="left"/>
              <w:rPr>
                <w:rFonts w:ascii="Cambria" w:hAnsi="Cambria"/>
                <w:b w:val="0"/>
                <w:sz w:val="18"/>
                <w:szCs w:val="18"/>
              </w:rPr>
            </w:pPr>
          </w:p>
        </w:tc>
        <w:tc>
          <w:tcPr>
            <w:tcW w:w="2499" w:type="dxa"/>
          </w:tcPr>
          <w:p w14:paraId="41A2DA37"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Izraditi prijedlog mjera za ravnopravnu zastupljenost žena i muškaraca u vladi, drugim vladinim tijelima i javnim ustanovama i preduzećima kojima upravlja TK</w:t>
            </w:r>
          </w:p>
        </w:tc>
        <w:tc>
          <w:tcPr>
            <w:tcW w:w="1808" w:type="dxa"/>
          </w:tcPr>
          <w:p w14:paraId="1F9A3657"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Komisija za jednakopravnost spolova</w:t>
            </w:r>
          </w:p>
        </w:tc>
        <w:tc>
          <w:tcPr>
            <w:tcW w:w="1722" w:type="dxa"/>
          </w:tcPr>
          <w:p w14:paraId="7A237095"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Izrađeni prijedlozi i po potrebi prijedlozi izmjena i dopuna zakona i drugih propisa sa ciljem uvođenja kvote za manje zastupljen spol od najmanje 40%</w:t>
            </w:r>
          </w:p>
        </w:tc>
        <w:tc>
          <w:tcPr>
            <w:tcW w:w="1477" w:type="dxa"/>
          </w:tcPr>
          <w:p w14:paraId="3CA3012F"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Septembar 2025.</w:t>
            </w:r>
          </w:p>
        </w:tc>
        <w:tc>
          <w:tcPr>
            <w:tcW w:w="1364" w:type="dxa"/>
          </w:tcPr>
          <w:p w14:paraId="5471480E"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FIGAP II sredstva</w:t>
            </w:r>
          </w:p>
        </w:tc>
        <w:tc>
          <w:tcPr>
            <w:tcW w:w="459" w:type="dxa"/>
            <w:textDirection w:val="btLr"/>
            <w:vAlign w:val="center"/>
          </w:tcPr>
          <w:p w14:paraId="18E63514"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528EFAA2"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523205CC"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641540F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13A824C4"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34972F4C"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26FE4403"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2085FAB4"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780AF450" w14:textId="77777777" w:rsidR="0070073E" w:rsidRPr="000C5CA4" w:rsidRDefault="0070073E" w:rsidP="00490474">
            <w:pPr>
              <w:spacing w:line="240" w:lineRule="auto"/>
              <w:jc w:val="left"/>
              <w:rPr>
                <w:rFonts w:ascii="Cambria" w:hAnsi="Cambria"/>
                <w:b w:val="0"/>
                <w:sz w:val="18"/>
                <w:szCs w:val="18"/>
              </w:rPr>
            </w:pPr>
          </w:p>
        </w:tc>
        <w:tc>
          <w:tcPr>
            <w:tcW w:w="2499" w:type="dxa"/>
          </w:tcPr>
          <w:p w14:paraId="574BA430"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Osigurati ravnopravno učešće žena i muškaraca u svim tijelima uključujući i predsjednike/ce tijela koje imenuje Skupština, Vlada i ministarstva</w:t>
            </w:r>
          </w:p>
        </w:tc>
        <w:tc>
          <w:tcPr>
            <w:tcW w:w="1808" w:type="dxa"/>
          </w:tcPr>
          <w:p w14:paraId="0BE69A7C"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Skupština, Vlada</w:t>
            </w:r>
          </w:p>
        </w:tc>
        <w:tc>
          <w:tcPr>
            <w:tcW w:w="1722" w:type="dxa"/>
          </w:tcPr>
          <w:p w14:paraId="28C140BE"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Muškarci i žene zastupljeni sa najmanje 40% u svim tijelima koja se imenuju </w:t>
            </w:r>
          </w:p>
        </w:tc>
        <w:tc>
          <w:tcPr>
            <w:tcW w:w="1477" w:type="dxa"/>
          </w:tcPr>
          <w:p w14:paraId="18DD8D9F"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364" w:type="dxa"/>
          </w:tcPr>
          <w:p w14:paraId="068EC303"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2DDC110C"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6E86D3B8"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45753C4B"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3D96EC3A"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7FEC8DC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310913C5"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444830D3"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7D3953DA"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val="restart"/>
            <w:vAlign w:val="center"/>
          </w:tcPr>
          <w:p w14:paraId="4EEF7C05" w14:textId="77777777" w:rsidR="0070073E" w:rsidRPr="000C5CA4" w:rsidRDefault="0070073E" w:rsidP="00490474">
            <w:pPr>
              <w:pStyle w:val="Heading4"/>
              <w:spacing w:line="240" w:lineRule="auto"/>
              <w:jc w:val="center"/>
              <w:outlineLvl w:val="3"/>
              <w:rPr>
                <w:rFonts w:ascii="Cambria" w:hAnsi="Cambria"/>
                <w:szCs w:val="18"/>
              </w:rPr>
            </w:pPr>
            <w:r w:rsidRPr="000C5CA4">
              <w:rPr>
                <w:rFonts w:ascii="Cambria" w:hAnsi="Cambria"/>
                <w:szCs w:val="18"/>
              </w:rPr>
              <w:lastRenderedPageBreak/>
              <w:t>2.5. Unaprijeđeno zdravlje i seksualno i reproduktivno zdravlje</w:t>
            </w:r>
          </w:p>
        </w:tc>
        <w:tc>
          <w:tcPr>
            <w:tcW w:w="2499" w:type="dxa"/>
          </w:tcPr>
          <w:p w14:paraId="5475A13C"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Inicirati akreditaciju Programa zdravstvenih radnika u oblasti pružanja rodno senzitivnih usluga i usluga iz oblasti seksualnog  i reproduktivnog zdravlja generalnoj i višestruko marginaliziranim populacijama</w:t>
            </w:r>
          </w:p>
        </w:tc>
        <w:tc>
          <w:tcPr>
            <w:tcW w:w="1808" w:type="dxa"/>
          </w:tcPr>
          <w:p w14:paraId="3FB75755"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Kantonalno Ministarstvo</w:t>
            </w:r>
          </w:p>
          <w:p w14:paraId="779E3E3A"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Zdravstva  </w:t>
            </w:r>
          </w:p>
        </w:tc>
        <w:tc>
          <w:tcPr>
            <w:tcW w:w="1722" w:type="dxa"/>
          </w:tcPr>
          <w:p w14:paraId="0CC63BEC"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Usvojena inicijativa od strane nadležnog ministarstva.</w:t>
            </w:r>
          </w:p>
          <w:p w14:paraId="2BF58229"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Sprovedeni treninzi zdravstvenog osoblja na nivou primarne zdravstvene zaštite u skladu sa međunarodnim standardima i preporukama Svjetske zdravstvene organizacije</w:t>
            </w:r>
          </w:p>
        </w:tc>
        <w:tc>
          <w:tcPr>
            <w:tcW w:w="1477" w:type="dxa"/>
          </w:tcPr>
          <w:p w14:paraId="048F25EE"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Kraj 2025.</w:t>
            </w:r>
          </w:p>
        </w:tc>
        <w:tc>
          <w:tcPr>
            <w:tcW w:w="1364" w:type="dxa"/>
          </w:tcPr>
          <w:p w14:paraId="02AED66F"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Fondacija XY i UNFPA</w:t>
            </w:r>
          </w:p>
        </w:tc>
        <w:tc>
          <w:tcPr>
            <w:tcW w:w="459" w:type="dxa"/>
            <w:textDirection w:val="btLr"/>
            <w:vAlign w:val="center"/>
          </w:tcPr>
          <w:p w14:paraId="086511E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286D9462"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0EE23190"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16940DDC"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7FB6BE96"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20BA78D4"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2CBA2C11"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44F3CCB9"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1B52BD92" w14:textId="77777777" w:rsidR="0070073E" w:rsidRPr="000C5CA4" w:rsidRDefault="0070073E" w:rsidP="00490474">
            <w:pPr>
              <w:spacing w:line="240" w:lineRule="auto"/>
              <w:jc w:val="left"/>
              <w:rPr>
                <w:rFonts w:ascii="Cambria" w:hAnsi="Cambria"/>
                <w:b w:val="0"/>
                <w:sz w:val="18"/>
                <w:szCs w:val="18"/>
              </w:rPr>
            </w:pPr>
          </w:p>
        </w:tc>
        <w:tc>
          <w:tcPr>
            <w:tcW w:w="2499" w:type="dxa"/>
          </w:tcPr>
          <w:p w14:paraId="503F48C1"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Sprovesti Rodnu analizu za identifikaciju socijalnih determinanti zdravlja i utjecaja rodnih stereotipa na stavove mladih i odraslih u TK</w:t>
            </w:r>
          </w:p>
        </w:tc>
        <w:tc>
          <w:tcPr>
            <w:tcW w:w="1808" w:type="dxa"/>
          </w:tcPr>
          <w:p w14:paraId="26D6EF3A"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Kantonalno Ministarstvo zdravstva </w:t>
            </w:r>
          </w:p>
        </w:tc>
        <w:tc>
          <w:tcPr>
            <w:tcW w:w="1722" w:type="dxa"/>
          </w:tcPr>
          <w:p w14:paraId="1EA4591E"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Usvojene preporuke rodne analize i uvrštene u programe za unaprjeđenje zdravstvene zaštite na području TK.</w:t>
            </w:r>
          </w:p>
        </w:tc>
        <w:tc>
          <w:tcPr>
            <w:tcW w:w="1477" w:type="dxa"/>
          </w:tcPr>
          <w:p w14:paraId="21FB8D98"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Kraj 2025.</w:t>
            </w:r>
          </w:p>
        </w:tc>
        <w:tc>
          <w:tcPr>
            <w:tcW w:w="1364" w:type="dxa"/>
          </w:tcPr>
          <w:p w14:paraId="4A73D4D0"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Fondacija XY</w:t>
            </w:r>
          </w:p>
        </w:tc>
        <w:tc>
          <w:tcPr>
            <w:tcW w:w="459" w:type="dxa"/>
            <w:textDirection w:val="btLr"/>
            <w:vAlign w:val="center"/>
          </w:tcPr>
          <w:p w14:paraId="58B80C2C"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27B7E14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544B47B3"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670A7A1D"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286DF8E6"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1DF26905"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77B3BA02"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2C6EFE3B"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5801A18F" w14:textId="77777777" w:rsidR="0070073E" w:rsidRPr="000C5CA4" w:rsidRDefault="0070073E" w:rsidP="00490474">
            <w:pPr>
              <w:spacing w:line="240" w:lineRule="auto"/>
              <w:jc w:val="left"/>
              <w:rPr>
                <w:rFonts w:ascii="Cambria" w:hAnsi="Cambria"/>
                <w:b w:val="0"/>
                <w:sz w:val="18"/>
                <w:szCs w:val="18"/>
              </w:rPr>
            </w:pPr>
          </w:p>
        </w:tc>
        <w:tc>
          <w:tcPr>
            <w:tcW w:w="2499" w:type="dxa"/>
          </w:tcPr>
          <w:p w14:paraId="519FC84F"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Sufinansiranje organizacije sportskih takmičenja i liga i promocija sporta kao zdravog životnog stila</w:t>
            </w:r>
          </w:p>
        </w:tc>
        <w:tc>
          <w:tcPr>
            <w:tcW w:w="1808" w:type="dxa"/>
          </w:tcPr>
          <w:p w14:paraId="79D464F9"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Kantonalno Ministarstvo za kulturu, sport i mlade</w:t>
            </w:r>
          </w:p>
        </w:tc>
        <w:tc>
          <w:tcPr>
            <w:tcW w:w="1722" w:type="dxa"/>
          </w:tcPr>
          <w:p w14:paraId="6432A256"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%sufinansiranih klubova, muških i ženskih</w:t>
            </w:r>
          </w:p>
        </w:tc>
        <w:tc>
          <w:tcPr>
            <w:tcW w:w="1477" w:type="dxa"/>
          </w:tcPr>
          <w:p w14:paraId="058A9D14"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Kontinuirano </w:t>
            </w:r>
          </w:p>
        </w:tc>
        <w:tc>
          <w:tcPr>
            <w:tcW w:w="1364" w:type="dxa"/>
          </w:tcPr>
          <w:p w14:paraId="31B8C7F5"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18DBC49E"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4212A73B"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60A6675C"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6AD827F6"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6F54170D"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08053055"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4A1BED64"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04E2E253"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391BDC4D" w14:textId="77777777" w:rsidR="0070073E" w:rsidRPr="000C5CA4" w:rsidRDefault="0070073E" w:rsidP="00490474">
            <w:pPr>
              <w:spacing w:line="240" w:lineRule="auto"/>
              <w:jc w:val="left"/>
              <w:rPr>
                <w:rFonts w:ascii="Cambria" w:hAnsi="Cambria"/>
                <w:b w:val="0"/>
                <w:sz w:val="18"/>
                <w:szCs w:val="18"/>
              </w:rPr>
            </w:pPr>
          </w:p>
        </w:tc>
        <w:tc>
          <w:tcPr>
            <w:tcW w:w="2499" w:type="dxa"/>
          </w:tcPr>
          <w:p w14:paraId="7CDF38A8"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Pravno urediti medicinske i pravne postupke u slučaju interspolnosti </w:t>
            </w:r>
          </w:p>
        </w:tc>
        <w:tc>
          <w:tcPr>
            <w:tcW w:w="1808" w:type="dxa"/>
          </w:tcPr>
          <w:p w14:paraId="1A8D7833"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Kantonalno Ministarstvo zdravstva </w:t>
            </w:r>
          </w:p>
        </w:tc>
        <w:tc>
          <w:tcPr>
            <w:tcW w:w="1722" w:type="dxa"/>
          </w:tcPr>
          <w:p w14:paraId="4048F70C"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Izrađen Pravilnik o prilagodbi spola u medicinskim institucijama u TK</w:t>
            </w:r>
          </w:p>
        </w:tc>
        <w:tc>
          <w:tcPr>
            <w:tcW w:w="1477" w:type="dxa"/>
          </w:tcPr>
          <w:p w14:paraId="4A3A5BE1"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Kraj 2025.</w:t>
            </w:r>
          </w:p>
        </w:tc>
        <w:tc>
          <w:tcPr>
            <w:tcW w:w="1364" w:type="dxa"/>
          </w:tcPr>
          <w:p w14:paraId="3BE39C62"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459" w:type="dxa"/>
            <w:textDirection w:val="btLr"/>
            <w:vAlign w:val="center"/>
          </w:tcPr>
          <w:p w14:paraId="25F326A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7C1FBB32"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685D7322"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6416D6DC"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67DFEE0C"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14BC31DB"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12D15CD4"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03A67649"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val="restart"/>
          </w:tcPr>
          <w:p w14:paraId="0F112B33" w14:textId="77777777" w:rsidR="0070073E" w:rsidRPr="000C5CA4" w:rsidRDefault="0070073E" w:rsidP="00490474">
            <w:pPr>
              <w:spacing w:line="240" w:lineRule="auto"/>
              <w:jc w:val="left"/>
              <w:rPr>
                <w:rFonts w:ascii="Cambria" w:hAnsi="Cambria"/>
                <w:b w:val="0"/>
                <w:sz w:val="18"/>
                <w:szCs w:val="18"/>
              </w:rPr>
            </w:pPr>
            <w:r w:rsidRPr="000C5CA4">
              <w:rPr>
                <w:rFonts w:ascii="Cambria" w:hAnsi="Cambria"/>
                <w:b w:val="0"/>
                <w:sz w:val="18"/>
                <w:szCs w:val="18"/>
              </w:rPr>
              <w:t>2.6. Uključena ravnopravnost spolova u kontekstu zaštite okoliša i klimatskih promjena</w:t>
            </w:r>
          </w:p>
          <w:p w14:paraId="20B2FAFA" w14:textId="77777777" w:rsidR="0070073E" w:rsidRPr="000C5CA4" w:rsidRDefault="0070073E" w:rsidP="00490474">
            <w:pPr>
              <w:spacing w:line="240" w:lineRule="auto"/>
              <w:jc w:val="left"/>
              <w:rPr>
                <w:rFonts w:ascii="Cambria" w:hAnsi="Cambria"/>
                <w:sz w:val="18"/>
                <w:szCs w:val="18"/>
              </w:rPr>
            </w:pPr>
          </w:p>
        </w:tc>
        <w:tc>
          <w:tcPr>
            <w:tcW w:w="2499" w:type="dxa"/>
          </w:tcPr>
          <w:p w14:paraId="0D530C2F"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eastAsia="Times New Roman" w:hAnsi="Cambria"/>
                <w:sz w:val="18"/>
                <w:szCs w:val="18"/>
                <w:lang w:eastAsia="bs-Latn-BA"/>
              </w:rPr>
              <w:t>Uključivanje rodne perspektive u klimatske politike</w:t>
            </w:r>
          </w:p>
        </w:tc>
        <w:tc>
          <w:tcPr>
            <w:tcW w:w="1808" w:type="dxa"/>
          </w:tcPr>
          <w:p w14:paraId="460725DD" w14:textId="77777777" w:rsidR="0070073E" w:rsidRPr="000C5CA4" w:rsidRDefault="0070073E" w:rsidP="00490474">
            <w:pPr>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eastAsia="Times New Roman" w:hAnsi="Cambria"/>
                <w:sz w:val="18"/>
                <w:szCs w:val="18"/>
                <w:lang w:eastAsia="bs-Latn-BA"/>
              </w:rPr>
              <w:t>Ministarstvo okoliša</w:t>
            </w:r>
          </w:p>
        </w:tc>
        <w:tc>
          <w:tcPr>
            <w:tcW w:w="1722" w:type="dxa"/>
          </w:tcPr>
          <w:p w14:paraId="1B44715E" w14:textId="77777777" w:rsidR="0070073E" w:rsidRPr="000C5CA4" w:rsidRDefault="0070073E" w:rsidP="00490474">
            <w:pPr>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eastAsia="Times New Roman" w:hAnsi="Cambria"/>
                <w:sz w:val="18"/>
                <w:szCs w:val="18"/>
                <w:lang w:eastAsia="bs-Latn-BA"/>
              </w:rPr>
              <w:t>Broj održanih treninga, uključenost rodne perspektive u dokumente</w:t>
            </w:r>
          </w:p>
        </w:tc>
        <w:tc>
          <w:tcPr>
            <w:tcW w:w="1477" w:type="dxa"/>
          </w:tcPr>
          <w:p w14:paraId="2BBDF413" w14:textId="77777777" w:rsidR="0070073E" w:rsidRPr="000C5CA4" w:rsidRDefault="0070073E" w:rsidP="00490474">
            <w:pPr>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eastAsia="Times New Roman" w:hAnsi="Cambria"/>
                <w:sz w:val="18"/>
                <w:szCs w:val="18"/>
                <w:lang w:eastAsia="bs-Latn-BA"/>
              </w:rPr>
              <w:t>2025–2026</w:t>
            </w:r>
          </w:p>
        </w:tc>
        <w:tc>
          <w:tcPr>
            <w:tcW w:w="1364" w:type="dxa"/>
          </w:tcPr>
          <w:p w14:paraId="314936F9"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60CEBF87"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76968C69"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08958758"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6B75DD5C"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30CE9F76"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01C84557"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7B18DB6A"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29BF9394"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241493FB" w14:textId="77777777" w:rsidR="0070073E" w:rsidRPr="000C5CA4" w:rsidRDefault="0070073E" w:rsidP="00490474">
            <w:pPr>
              <w:spacing w:line="240" w:lineRule="auto"/>
              <w:jc w:val="left"/>
              <w:rPr>
                <w:rFonts w:ascii="Cambria" w:hAnsi="Cambria"/>
                <w:b w:val="0"/>
                <w:sz w:val="18"/>
                <w:szCs w:val="18"/>
              </w:rPr>
            </w:pPr>
          </w:p>
        </w:tc>
        <w:tc>
          <w:tcPr>
            <w:tcW w:w="2499" w:type="dxa"/>
          </w:tcPr>
          <w:p w14:paraId="447DC645"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Organizacija besplatnih edukacija za žene o zelenoj ekonomiji</w:t>
            </w:r>
          </w:p>
        </w:tc>
        <w:tc>
          <w:tcPr>
            <w:tcW w:w="1808" w:type="dxa"/>
            <w:vAlign w:val="center"/>
          </w:tcPr>
          <w:p w14:paraId="282C26D9" w14:textId="77777777" w:rsidR="0070073E" w:rsidRPr="000C5CA4" w:rsidRDefault="0070073E" w:rsidP="00490474">
            <w:pPr>
              <w:spacing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Ministarstvo okoliša, NVO sektor, UNDP, škole</w:t>
            </w:r>
          </w:p>
        </w:tc>
        <w:tc>
          <w:tcPr>
            <w:tcW w:w="1722" w:type="dxa"/>
            <w:vAlign w:val="center"/>
          </w:tcPr>
          <w:p w14:paraId="40DB2E3F" w14:textId="77777777" w:rsidR="0070073E" w:rsidRPr="000C5CA4" w:rsidRDefault="0070073E" w:rsidP="00490474">
            <w:pPr>
              <w:spacing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Broj održanih edukacija, broj polaznica, primjena naučenog</w:t>
            </w:r>
          </w:p>
        </w:tc>
        <w:tc>
          <w:tcPr>
            <w:tcW w:w="1477" w:type="dxa"/>
          </w:tcPr>
          <w:p w14:paraId="3389F171" w14:textId="77777777" w:rsidR="0070073E" w:rsidRPr="000C5CA4" w:rsidRDefault="0070073E" w:rsidP="00490474">
            <w:pPr>
              <w:spacing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2025–2027</w:t>
            </w:r>
          </w:p>
        </w:tc>
        <w:tc>
          <w:tcPr>
            <w:tcW w:w="1364" w:type="dxa"/>
          </w:tcPr>
          <w:p w14:paraId="4E004BA0"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7C620F37"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58EEA5D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565E1D46"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7395E849"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00FDD66E"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2517EA84"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218C9868"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70073E" w:rsidRPr="000C5CA4" w14:paraId="28FC0CA6" w14:textId="77777777" w:rsidTr="0070073E">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358D6307" w14:textId="77777777" w:rsidR="0070073E" w:rsidRPr="000C5CA4" w:rsidRDefault="0070073E" w:rsidP="00490474">
            <w:pPr>
              <w:spacing w:line="240" w:lineRule="auto"/>
              <w:jc w:val="left"/>
              <w:rPr>
                <w:rFonts w:ascii="Cambria" w:hAnsi="Cambria"/>
                <w:b w:val="0"/>
                <w:sz w:val="18"/>
                <w:szCs w:val="18"/>
              </w:rPr>
            </w:pPr>
          </w:p>
        </w:tc>
        <w:tc>
          <w:tcPr>
            <w:tcW w:w="2499" w:type="dxa"/>
          </w:tcPr>
          <w:p w14:paraId="0C1CE5F7"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Uvođenje posebnih linija subvencija za žene u energetskoj tranziciji</w:t>
            </w:r>
          </w:p>
        </w:tc>
        <w:tc>
          <w:tcPr>
            <w:tcW w:w="1808" w:type="dxa"/>
            <w:vAlign w:val="center"/>
          </w:tcPr>
          <w:p w14:paraId="4BAEEB6E" w14:textId="77777777" w:rsidR="0070073E" w:rsidRPr="000C5CA4" w:rsidRDefault="0070073E" w:rsidP="00490474">
            <w:pPr>
              <w:spacing w:line="240"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Ministarstvo okoliša, finansijske institucije</w:t>
            </w:r>
          </w:p>
        </w:tc>
        <w:tc>
          <w:tcPr>
            <w:tcW w:w="1722" w:type="dxa"/>
            <w:vAlign w:val="center"/>
          </w:tcPr>
          <w:p w14:paraId="108AA55E" w14:textId="77777777" w:rsidR="0070073E" w:rsidRPr="000C5CA4" w:rsidRDefault="0070073E" w:rsidP="00490474">
            <w:pPr>
              <w:spacing w:line="240"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Broj žena korisnica subvencija, ekonomski efekti za korisnice</w:t>
            </w:r>
          </w:p>
        </w:tc>
        <w:tc>
          <w:tcPr>
            <w:tcW w:w="1477" w:type="dxa"/>
          </w:tcPr>
          <w:p w14:paraId="31F6C8C9" w14:textId="77777777" w:rsidR="0070073E" w:rsidRPr="000C5CA4" w:rsidRDefault="0070073E" w:rsidP="00490474">
            <w:pPr>
              <w:spacing w:line="240"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2025–2027</w:t>
            </w:r>
          </w:p>
        </w:tc>
        <w:tc>
          <w:tcPr>
            <w:tcW w:w="1364" w:type="dxa"/>
          </w:tcPr>
          <w:p w14:paraId="6381A55A" w14:textId="77777777" w:rsidR="0070073E" w:rsidRPr="000C5CA4" w:rsidRDefault="0070073E" w:rsidP="00490474">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7FB161D5"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5303170C"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38980C24"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59" w:type="dxa"/>
            <w:textDirection w:val="btLr"/>
            <w:vAlign w:val="center"/>
          </w:tcPr>
          <w:p w14:paraId="3C168051"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74A3D732"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9" w:type="dxa"/>
            <w:textDirection w:val="btLr"/>
            <w:vAlign w:val="center"/>
          </w:tcPr>
          <w:p w14:paraId="4C83A235"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49" w:type="dxa"/>
            <w:textDirection w:val="btLr"/>
            <w:vAlign w:val="center"/>
          </w:tcPr>
          <w:p w14:paraId="70F2ADA2" w14:textId="77777777" w:rsidR="0070073E" w:rsidRPr="000C5CA4" w:rsidRDefault="0070073E" w:rsidP="00490474">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70073E" w:rsidRPr="000C5CA4" w14:paraId="2EF5ED0E" w14:textId="77777777" w:rsidTr="0070073E">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614" w:type="dxa"/>
            <w:vMerge/>
          </w:tcPr>
          <w:p w14:paraId="687E0C40" w14:textId="77777777" w:rsidR="0070073E" w:rsidRPr="000C5CA4" w:rsidRDefault="0070073E" w:rsidP="00490474">
            <w:pPr>
              <w:spacing w:line="240" w:lineRule="auto"/>
              <w:jc w:val="left"/>
              <w:rPr>
                <w:rFonts w:ascii="Cambria" w:hAnsi="Cambria"/>
                <w:b w:val="0"/>
                <w:sz w:val="18"/>
                <w:szCs w:val="18"/>
              </w:rPr>
            </w:pPr>
          </w:p>
        </w:tc>
        <w:tc>
          <w:tcPr>
            <w:tcW w:w="2499" w:type="dxa"/>
          </w:tcPr>
          <w:p w14:paraId="46A8EC2F"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Uvođenje rodno osjetljivog monitoringa u projekte zaštite okoliša</w:t>
            </w:r>
          </w:p>
        </w:tc>
        <w:tc>
          <w:tcPr>
            <w:tcW w:w="1808" w:type="dxa"/>
            <w:vAlign w:val="center"/>
          </w:tcPr>
          <w:p w14:paraId="5979A75B"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Ministarstvo okoliša, kantonalni budžet, NVO</w:t>
            </w:r>
          </w:p>
        </w:tc>
        <w:tc>
          <w:tcPr>
            <w:tcW w:w="1722" w:type="dxa"/>
            <w:vAlign w:val="center"/>
          </w:tcPr>
          <w:p w14:paraId="2B16378F"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Postojanje rodnih pokazatelja, izvještaji o rodnoj uključenosti</w:t>
            </w:r>
          </w:p>
        </w:tc>
        <w:tc>
          <w:tcPr>
            <w:tcW w:w="1477" w:type="dxa"/>
          </w:tcPr>
          <w:p w14:paraId="0E5E3933"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18"/>
                <w:szCs w:val="18"/>
                <w:lang w:eastAsia="bs-Latn-BA"/>
              </w:rPr>
            </w:pPr>
            <w:r w:rsidRPr="000C5CA4">
              <w:rPr>
                <w:rFonts w:ascii="Cambria" w:eastAsia="Times New Roman" w:hAnsi="Cambria"/>
                <w:sz w:val="18"/>
                <w:szCs w:val="18"/>
                <w:lang w:eastAsia="bs-Latn-BA"/>
              </w:rPr>
              <w:t>2025–2027</w:t>
            </w:r>
          </w:p>
        </w:tc>
        <w:tc>
          <w:tcPr>
            <w:tcW w:w="1364" w:type="dxa"/>
          </w:tcPr>
          <w:p w14:paraId="4FC5219C" w14:textId="77777777" w:rsidR="0070073E" w:rsidRPr="000C5CA4" w:rsidRDefault="0070073E" w:rsidP="00490474">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58A72D78"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20883F98"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25FC6C62"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59" w:type="dxa"/>
            <w:textDirection w:val="btLr"/>
            <w:vAlign w:val="center"/>
          </w:tcPr>
          <w:p w14:paraId="5FD6ADFD"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557187D1"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9" w:type="dxa"/>
            <w:textDirection w:val="btLr"/>
            <w:vAlign w:val="center"/>
          </w:tcPr>
          <w:p w14:paraId="7F744F56"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49" w:type="dxa"/>
            <w:textDirection w:val="btLr"/>
            <w:vAlign w:val="center"/>
          </w:tcPr>
          <w:p w14:paraId="2C14A475" w14:textId="77777777" w:rsidR="0070073E" w:rsidRPr="000C5CA4" w:rsidRDefault="0070073E" w:rsidP="00490474">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bl>
    <w:p w14:paraId="2B93EFAE" w14:textId="77777777" w:rsidR="004C26CA" w:rsidRPr="000C5CA4" w:rsidRDefault="004C26CA" w:rsidP="004C26CA">
      <w:pPr>
        <w:tabs>
          <w:tab w:val="clear" w:pos="5103"/>
        </w:tabs>
        <w:spacing w:line="240" w:lineRule="auto"/>
        <w:ind w:right="0"/>
        <w:jc w:val="left"/>
        <w:rPr>
          <w:sz w:val="16"/>
          <w:szCs w:val="18"/>
        </w:rPr>
      </w:pPr>
    </w:p>
    <w:p w14:paraId="655EA586" w14:textId="77777777" w:rsidR="004C26CA" w:rsidRPr="000C5CA4" w:rsidRDefault="004C26CA" w:rsidP="004C26CA">
      <w:pPr>
        <w:tabs>
          <w:tab w:val="clear" w:pos="5103"/>
        </w:tabs>
        <w:spacing w:line="240" w:lineRule="auto"/>
        <w:ind w:right="0"/>
        <w:jc w:val="left"/>
        <w:rPr>
          <w:sz w:val="16"/>
          <w:szCs w:val="18"/>
        </w:rPr>
      </w:pPr>
    </w:p>
    <w:p w14:paraId="7B00F22C" w14:textId="77777777" w:rsidR="004C26CA" w:rsidRPr="000C5CA4" w:rsidRDefault="004C26CA" w:rsidP="004C26CA">
      <w:pPr>
        <w:tabs>
          <w:tab w:val="clear" w:pos="5103"/>
        </w:tabs>
        <w:spacing w:line="240" w:lineRule="auto"/>
        <w:ind w:right="0"/>
        <w:jc w:val="left"/>
        <w:rPr>
          <w:sz w:val="16"/>
          <w:szCs w:val="18"/>
        </w:rPr>
      </w:pPr>
    </w:p>
    <w:p w14:paraId="6E5782C9" w14:textId="77777777" w:rsidR="004C26CA" w:rsidRPr="000C5CA4" w:rsidRDefault="004C26CA" w:rsidP="004C26CA">
      <w:pPr>
        <w:tabs>
          <w:tab w:val="clear" w:pos="5103"/>
        </w:tabs>
        <w:spacing w:line="240" w:lineRule="auto"/>
        <w:ind w:right="0"/>
        <w:jc w:val="left"/>
        <w:rPr>
          <w:sz w:val="16"/>
          <w:szCs w:val="18"/>
        </w:rPr>
      </w:pPr>
    </w:p>
    <w:p w14:paraId="2E413C27" w14:textId="77777777" w:rsidR="004C26CA" w:rsidRPr="000C5CA4" w:rsidRDefault="004C26CA" w:rsidP="004C26CA">
      <w:pPr>
        <w:tabs>
          <w:tab w:val="clear" w:pos="5103"/>
        </w:tabs>
        <w:spacing w:line="240" w:lineRule="auto"/>
        <w:ind w:right="0"/>
        <w:jc w:val="left"/>
        <w:rPr>
          <w:sz w:val="16"/>
          <w:szCs w:val="18"/>
        </w:rPr>
      </w:pPr>
    </w:p>
    <w:p w14:paraId="17AD63A3" w14:textId="77777777" w:rsidR="004C26CA" w:rsidRPr="000C5CA4" w:rsidRDefault="004C26CA" w:rsidP="004C26CA">
      <w:pPr>
        <w:tabs>
          <w:tab w:val="clear" w:pos="5103"/>
        </w:tabs>
        <w:spacing w:line="240" w:lineRule="auto"/>
        <w:ind w:right="0"/>
        <w:jc w:val="left"/>
        <w:rPr>
          <w:sz w:val="16"/>
          <w:szCs w:val="18"/>
        </w:rPr>
      </w:pPr>
    </w:p>
    <w:p w14:paraId="71D411EB" w14:textId="77777777" w:rsidR="004C26CA" w:rsidRPr="000C5CA4" w:rsidRDefault="004C26CA" w:rsidP="004C26CA">
      <w:pPr>
        <w:tabs>
          <w:tab w:val="clear" w:pos="5103"/>
        </w:tabs>
        <w:spacing w:line="240" w:lineRule="auto"/>
        <w:ind w:right="0"/>
        <w:jc w:val="left"/>
        <w:rPr>
          <w:sz w:val="16"/>
          <w:szCs w:val="18"/>
        </w:rPr>
      </w:pPr>
    </w:p>
    <w:p w14:paraId="6FC05CEE" w14:textId="77777777" w:rsidR="004C26CA" w:rsidRPr="000C5CA4" w:rsidRDefault="004C26CA" w:rsidP="004C26CA">
      <w:pPr>
        <w:tabs>
          <w:tab w:val="clear" w:pos="5103"/>
        </w:tabs>
        <w:spacing w:line="240" w:lineRule="auto"/>
        <w:ind w:right="0"/>
        <w:jc w:val="left"/>
        <w:rPr>
          <w:sz w:val="16"/>
          <w:szCs w:val="18"/>
        </w:rPr>
      </w:pPr>
    </w:p>
    <w:tbl>
      <w:tblPr>
        <w:tblStyle w:val="GridTable4-Accent11"/>
        <w:tblW w:w="14313" w:type="dxa"/>
        <w:tblCellSpacing w:w="2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Look w:val="04A0" w:firstRow="1" w:lastRow="0" w:firstColumn="1" w:lastColumn="0" w:noHBand="0" w:noVBand="1"/>
      </w:tblPr>
      <w:tblGrid>
        <w:gridCol w:w="1488"/>
        <w:gridCol w:w="1791"/>
        <w:gridCol w:w="1590"/>
        <w:gridCol w:w="1695"/>
        <w:gridCol w:w="1519"/>
        <w:gridCol w:w="1440"/>
        <w:gridCol w:w="571"/>
        <w:gridCol w:w="632"/>
        <w:gridCol w:w="600"/>
        <w:gridCol w:w="601"/>
        <w:gridCol w:w="600"/>
        <w:gridCol w:w="600"/>
        <w:gridCol w:w="600"/>
        <w:gridCol w:w="586"/>
      </w:tblGrid>
      <w:tr w:rsidR="004C26CA" w:rsidRPr="000C5CA4" w14:paraId="16C5BA65" w14:textId="77777777" w:rsidTr="00827F37">
        <w:trPr>
          <w:cnfStyle w:val="100000000000" w:firstRow="1" w:lastRow="0" w:firstColumn="0" w:lastColumn="0" w:oddVBand="0" w:evenVBand="0" w:oddHBand="0" w:evenHBand="0" w:firstRowFirstColumn="0" w:firstRowLastColumn="0" w:lastRowFirstColumn="0" w:lastRowLastColumn="0"/>
          <w:trHeight w:val="533"/>
          <w:tblHeader/>
          <w:tblCellSpacing w:w="20" w:type="dxa"/>
        </w:trPr>
        <w:tc>
          <w:tcPr>
            <w:cnfStyle w:val="001000000000" w:firstRow="0" w:lastRow="0" w:firstColumn="1" w:lastColumn="0" w:oddVBand="0" w:evenVBand="0" w:oddHBand="0" w:evenHBand="0" w:firstRowFirstColumn="0" w:firstRowLastColumn="0" w:lastRowFirstColumn="0" w:lastRowLastColumn="0"/>
            <w:tcW w:w="14233" w:type="dxa"/>
            <w:gridSpan w:val="14"/>
            <w:shd w:val="clear" w:color="auto" w:fill="2F5496" w:themeFill="accent5" w:themeFillShade="BF"/>
            <w:vAlign w:val="center"/>
            <w:hideMark/>
          </w:tcPr>
          <w:p w14:paraId="41B9FA57" w14:textId="77777777" w:rsidR="004C26CA" w:rsidRPr="000C5CA4" w:rsidRDefault="004C26CA" w:rsidP="00827F37">
            <w:pPr>
              <w:pStyle w:val="Heading4"/>
              <w:spacing w:line="240" w:lineRule="auto"/>
              <w:outlineLvl w:val="3"/>
              <w:rPr>
                <w:rFonts w:ascii="Cambria" w:hAnsi="Cambria" w:cs="Arial"/>
                <w:bCs w:val="0"/>
                <w:szCs w:val="18"/>
              </w:rPr>
            </w:pPr>
            <w:r w:rsidRPr="000C5CA4">
              <w:rPr>
                <w:rFonts w:ascii="Cambria" w:hAnsi="Cambria" w:cs="Arial"/>
                <w:szCs w:val="18"/>
              </w:rPr>
              <w:t>Srednjoročni cilj 3:</w:t>
            </w:r>
            <w:r w:rsidRPr="000C5CA4">
              <w:rPr>
                <w:rFonts w:ascii="Cambria" w:hAnsi="Cambria"/>
                <w:szCs w:val="18"/>
              </w:rPr>
              <w:t xml:space="preserve"> </w:t>
            </w:r>
            <w:r w:rsidRPr="000C5CA4">
              <w:rPr>
                <w:rFonts w:ascii="Cambria" w:hAnsi="Cambria"/>
                <w:szCs w:val="18"/>
                <w:u w:color="92D050"/>
              </w:rPr>
              <w:t>P</w:t>
            </w:r>
            <w:r w:rsidRPr="000C5CA4">
              <w:rPr>
                <w:rFonts w:ascii="Cambria" w:hAnsi="Cambria"/>
                <w:szCs w:val="18"/>
              </w:rPr>
              <w:t>rati se stanje i sarađuje sa drugim akterima na unapređenju stanja ravnopravnosti spolova</w:t>
            </w:r>
          </w:p>
        </w:tc>
      </w:tr>
      <w:tr w:rsidR="000C5CA4" w:rsidRPr="000C5CA4" w14:paraId="65D13081" w14:textId="77777777" w:rsidTr="00827F37">
        <w:trPr>
          <w:cnfStyle w:val="100000000000" w:firstRow="1" w:lastRow="0" w:firstColumn="0" w:lastColumn="0" w:oddVBand="0" w:evenVBand="0" w:oddHBand="0" w:evenHBand="0" w:firstRowFirstColumn="0" w:firstRowLastColumn="0" w:lastRowFirstColumn="0" w:lastRowLastColumn="0"/>
          <w:cantSplit/>
          <w:trHeight w:val="2484"/>
          <w:tblHeader/>
          <w:tblCellSpacing w:w="20" w:type="dxa"/>
        </w:trPr>
        <w:tc>
          <w:tcPr>
            <w:cnfStyle w:val="001000000000" w:firstRow="0" w:lastRow="0" w:firstColumn="1" w:lastColumn="0" w:oddVBand="0" w:evenVBand="0" w:oddHBand="0" w:evenHBand="0" w:firstRowFirstColumn="0" w:firstRowLastColumn="0" w:lastRowFirstColumn="0" w:lastRowLastColumn="0"/>
            <w:tcW w:w="1351" w:type="dxa"/>
            <w:shd w:val="clear" w:color="auto" w:fill="2F5496" w:themeFill="accent5" w:themeFillShade="BF"/>
            <w:vAlign w:val="center"/>
            <w:hideMark/>
          </w:tcPr>
          <w:p w14:paraId="3A8C5F8D" w14:textId="77777777" w:rsidR="004C26CA" w:rsidRPr="000C5CA4" w:rsidRDefault="004C26CA" w:rsidP="00827F37">
            <w:pPr>
              <w:spacing w:line="240" w:lineRule="auto"/>
              <w:jc w:val="center"/>
              <w:rPr>
                <w:rFonts w:ascii="Cambria" w:hAnsi="Cambria"/>
                <w:b w:val="0"/>
                <w:sz w:val="18"/>
                <w:szCs w:val="18"/>
              </w:rPr>
            </w:pPr>
            <w:r w:rsidRPr="000C5CA4">
              <w:rPr>
                <w:rFonts w:ascii="Cambria" w:hAnsi="Cambria"/>
                <w:b w:val="0"/>
                <w:sz w:val="18"/>
                <w:szCs w:val="18"/>
              </w:rPr>
              <w:t>Očekivani rezultat</w:t>
            </w:r>
          </w:p>
        </w:tc>
        <w:tc>
          <w:tcPr>
            <w:tcW w:w="1759" w:type="dxa"/>
            <w:shd w:val="clear" w:color="auto" w:fill="2F5496" w:themeFill="accent5" w:themeFillShade="BF"/>
            <w:vAlign w:val="center"/>
            <w:hideMark/>
          </w:tcPr>
          <w:p w14:paraId="363A7A2B" w14:textId="77777777" w:rsidR="004C26CA" w:rsidRPr="000C5CA4" w:rsidRDefault="004C26CA" w:rsidP="00827F3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Aktivnost</w:t>
            </w:r>
          </w:p>
        </w:tc>
        <w:tc>
          <w:tcPr>
            <w:tcW w:w="1557" w:type="dxa"/>
            <w:shd w:val="clear" w:color="auto" w:fill="2F5496" w:themeFill="accent5" w:themeFillShade="BF"/>
            <w:vAlign w:val="center"/>
            <w:hideMark/>
          </w:tcPr>
          <w:p w14:paraId="7C6D8435" w14:textId="77777777" w:rsidR="004C26CA" w:rsidRPr="000C5CA4" w:rsidRDefault="004C26CA" w:rsidP="00827F3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Nosilac odgovornosti</w:t>
            </w:r>
          </w:p>
        </w:tc>
        <w:tc>
          <w:tcPr>
            <w:tcW w:w="1665" w:type="dxa"/>
            <w:shd w:val="clear" w:color="auto" w:fill="2F5496" w:themeFill="accent5" w:themeFillShade="BF"/>
            <w:vAlign w:val="center"/>
            <w:hideMark/>
          </w:tcPr>
          <w:p w14:paraId="1075D520" w14:textId="77777777" w:rsidR="004C26CA" w:rsidRPr="000C5CA4" w:rsidRDefault="004C26CA" w:rsidP="00827F3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Pokazatelj napretka u odnosu na početno stanje</w:t>
            </w:r>
          </w:p>
        </w:tc>
        <w:tc>
          <w:tcPr>
            <w:tcW w:w="1487" w:type="dxa"/>
            <w:shd w:val="clear" w:color="auto" w:fill="2F5496" w:themeFill="accent5" w:themeFillShade="BF"/>
            <w:textDirection w:val="btLr"/>
            <w:vAlign w:val="center"/>
            <w:hideMark/>
          </w:tcPr>
          <w:p w14:paraId="137DE772"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Rok</w:t>
            </w:r>
          </w:p>
        </w:tc>
        <w:tc>
          <w:tcPr>
            <w:tcW w:w="1408" w:type="dxa"/>
            <w:shd w:val="clear" w:color="auto" w:fill="2F5496" w:themeFill="accent5" w:themeFillShade="BF"/>
            <w:textDirection w:val="btLr"/>
            <w:vAlign w:val="center"/>
            <w:hideMark/>
          </w:tcPr>
          <w:p w14:paraId="6024CA71"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Izvor finansiranja</w:t>
            </w:r>
          </w:p>
        </w:tc>
        <w:tc>
          <w:tcPr>
            <w:tcW w:w="534" w:type="dxa"/>
            <w:shd w:val="clear" w:color="auto" w:fill="2F5496" w:themeFill="accent5" w:themeFillShade="BF"/>
            <w:textDirection w:val="btLr"/>
            <w:vAlign w:val="center"/>
          </w:tcPr>
          <w:p w14:paraId="7E773C92"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Napredak do kraja 2023.</w:t>
            </w:r>
          </w:p>
        </w:tc>
        <w:tc>
          <w:tcPr>
            <w:tcW w:w="598" w:type="dxa"/>
            <w:shd w:val="clear" w:color="auto" w:fill="2F5496" w:themeFill="accent5" w:themeFillShade="BF"/>
            <w:textDirection w:val="btLr"/>
            <w:vAlign w:val="center"/>
          </w:tcPr>
          <w:p w14:paraId="3F5B9FFB"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Napredak do kraja 2024.</w:t>
            </w:r>
          </w:p>
        </w:tc>
        <w:tc>
          <w:tcPr>
            <w:tcW w:w="565" w:type="dxa"/>
            <w:shd w:val="clear" w:color="auto" w:fill="2F5496" w:themeFill="accent5" w:themeFillShade="BF"/>
            <w:textDirection w:val="btLr"/>
            <w:vAlign w:val="center"/>
          </w:tcPr>
          <w:p w14:paraId="39152C3D"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Napredak do kraja 2025.</w:t>
            </w:r>
          </w:p>
        </w:tc>
        <w:tc>
          <w:tcPr>
            <w:tcW w:w="565" w:type="dxa"/>
            <w:shd w:val="clear" w:color="auto" w:fill="2F5496" w:themeFill="accent5" w:themeFillShade="BF"/>
            <w:textDirection w:val="btLr"/>
            <w:vAlign w:val="center"/>
          </w:tcPr>
          <w:p w14:paraId="7C4EE1A5"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Napredak do kraja 2026.</w:t>
            </w:r>
          </w:p>
        </w:tc>
        <w:tc>
          <w:tcPr>
            <w:tcW w:w="565" w:type="dxa"/>
            <w:shd w:val="clear" w:color="auto" w:fill="2F5496" w:themeFill="accent5" w:themeFillShade="BF"/>
            <w:textDirection w:val="btLr"/>
            <w:vAlign w:val="center"/>
          </w:tcPr>
          <w:p w14:paraId="79336DB3"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Napredak do kraja 2027.</w:t>
            </w:r>
          </w:p>
        </w:tc>
        <w:tc>
          <w:tcPr>
            <w:tcW w:w="565" w:type="dxa"/>
            <w:shd w:val="clear" w:color="auto" w:fill="2F5496" w:themeFill="accent5" w:themeFillShade="BF"/>
            <w:textDirection w:val="btLr"/>
            <w:vAlign w:val="center"/>
          </w:tcPr>
          <w:p w14:paraId="4504687C"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Planirani troškovi u BAM</w:t>
            </w:r>
          </w:p>
        </w:tc>
        <w:tc>
          <w:tcPr>
            <w:tcW w:w="565" w:type="dxa"/>
            <w:shd w:val="clear" w:color="auto" w:fill="2F5496" w:themeFill="accent5" w:themeFillShade="BF"/>
            <w:textDirection w:val="btLr"/>
            <w:vAlign w:val="center"/>
          </w:tcPr>
          <w:p w14:paraId="55292BA5"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Krajnji korisnici po spolu</w:t>
            </w:r>
          </w:p>
        </w:tc>
        <w:tc>
          <w:tcPr>
            <w:tcW w:w="529" w:type="dxa"/>
            <w:shd w:val="clear" w:color="auto" w:fill="2F5496" w:themeFill="accent5" w:themeFillShade="BF"/>
            <w:textDirection w:val="btLr"/>
            <w:vAlign w:val="center"/>
          </w:tcPr>
          <w:p w14:paraId="277C478A" w14:textId="77777777" w:rsidR="004C26CA" w:rsidRPr="000C5CA4" w:rsidRDefault="004C26CA" w:rsidP="00827F37">
            <w:pPr>
              <w:spacing w:line="240" w:lineRule="auto"/>
              <w:ind w:left="11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0C5CA4">
              <w:rPr>
                <w:rFonts w:ascii="Cambria" w:hAnsi="Cambria"/>
                <w:b w:val="0"/>
                <w:sz w:val="18"/>
                <w:szCs w:val="18"/>
              </w:rPr>
              <w:t>Izvor verifikacije</w:t>
            </w:r>
          </w:p>
        </w:tc>
      </w:tr>
      <w:tr w:rsidR="004C26CA" w:rsidRPr="000C5CA4" w14:paraId="0AD30978" w14:textId="77777777" w:rsidTr="00827F37">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351" w:type="dxa"/>
            <w:vMerge w:val="restart"/>
            <w:vAlign w:val="center"/>
            <w:hideMark/>
          </w:tcPr>
          <w:p w14:paraId="253EA79F" w14:textId="77777777" w:rsidR="004C26CA" w:rsidRPr="000C5CA4" w:rsidRDefault="004C26CA" w:rsidP="00827F37">
            <w:pPr>
              <w:pStyle w:val="Heading4"/>
              <w:spacing w:line="240" w:lineRule="auto"/>
              <w:jc w:val="center"/>
              <w:outlineLvl w:val="3"/>
              <w:rPr>
                <w:rFonts w:ascii="Cambria" w:hAnsi="Cambria"/>
                <w:i/>
                <w:iCs/>
                <w:color w:val="404040" w:themeColor="text1" w:themeTint="BF"/>
                <w:szCs w:val="18"/>
              </w:rPr>
            </w:pPr>
            <w:r w:rsidRPr="000C5CA4">
              <w:rPr>
                <w:rFonts w:ascii="Cambria" w:hAnsi="Cambria"/>
                <w:szCs w:val="18"/>
              </w:rPr>
              <w:t xml:space="preserve">3.1. </w:t>
            </w:r>
            <w:r w:rsidRPr="000C5CA4">
              <w:rPr>
                <w:rFonts w:ascii="Cambria" w:hAnsi="Cambria"/>
                <w:szCs w:val="18"/>
                <w:u w:color="92D050"/>
              </w:rPr>
              <w:t>Kanton doprinosi</w:t>
            </w:r>
            <w:r w:rsidRPr="000C5CA4">
              <w:rPr>
                <w:rFonts w:ascii="Cambria" w:hAnsi="Cambria"/>
                <w:szCs w:val="18"/>
              </w:rPr>
              <w:t xml:space="preserve"> promociji ravnopravnost spolova</w:t>
            </w:r>
          </w:p>
        </w:tc>
        <w:tc>
          <w:tcPr>
            <w:tcW w:w="1759" w:type="dxa"/>
          </w:tcPr>
          <w:p w14:paraId="6FB141AC"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Utvrđen je Program obilježavanja dana od značaja za ravnopravnost spolova </w:t>
            </w:r>
          </w:p>
        </w:tc>
        <w:tc>
          <w:tcPr>
            <w:tcW w:w="1557" w:type="dxa"/>
          </w:tcPr>
          <w:p w14:paraId="7E314530"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Vlada i Skupština</w:t>
            </w:r>
          </w:p>
        </w:tc>
        <w:tc>
          <w:tcPr>
            <w:tcW w:w="1665" w:type="dxa"/>
          </w:tcPr>
          <w:p w14:paraId="43383D3F"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Obilježavaju se 8. mart „Međunarodni dan žena“, Međunarodna kampanja 16 dana aktivizma u borbi protiv nasilja (25.11. – 10.12.), Međunarodni dan žena u IKT-u, 19.11. Međunarodni dan muškaraca i drugi</w:t>
            </w:r>
          </w:p>
        </w:tc>
        <w:tc>
          <w:tcPr>
            <w:tcW w:w="1487" w:type="dxa"/>
          </w:tcPr>
          <w:p w14:paraId="5F9268A2"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Kontinuirano svake godine</w:t>
            </w:r>
          </w:p>
        </w:tc>
        <w:tc>
          <w:tcPr>
            <w:tcW w:w="1408" w:type="dxa"/>
          </w:tcPr>
          <w:p w14:paraId="0EC50B63"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i partnerstvo</w:t>
            </w:r>
          </w:p>
        </w:tc>
        <w:tc>
          <w:tcPr>
            <w:tcW w:w="534" w:type="dxa"/>
            <w:textDirection w:val="btLr"/>
            <w:vAlign w:val="center"/>
          </w:tcPr>
          <w:p w14:paraId="38528418"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98" w:type="dxa"/>
            <w:textDirection w:val="btLr"/>
            <w:vAlign w:val="center"/>
          </w:tcPr>
          <w:p w14:paraId="50A27039"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02B81CF1"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6C3B020B"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2ECA5E8E"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249A300D"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4A321A9E"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29" w:type="dxa"/>
            <w:textDirection w:val="btLr"/>
            <w:vAlign w:val="center"/>
          </w:tcPr>
          <w:p w14:paraId="7F340C91"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4C26CA" w:rsidRPr="000C5CA4" w14:paraId="67E507C8" w14:textId="77777777" w:rsidTr="00827F37">
        <w:trPr>
          <w:cantSplit/>
          <w:trHeight w:val="1207"/>
          <w:tblCellSpacing w:w="20" w:type="dxa"/>
        </w:trPr>
        <w:tc>
          <w:tcPr>
            <w:cnfStyle w:val="001000000000" w:firstRow="0" w:lastRow="0" w:firstColumn="1" w:lastColumn="0" w:oddVBand="0" w:evenVBand="0" w:oddHBand="0" w:evenHBand="0" w:firstRowFirstColumn="0" w:firstRowLastColumn="0" w:lastRowFirstColumn="0" w:lastRowLastColumn="0"/>
            <w:tcW w:w="1351" w:type="dxa"/>
            <w:vMerge/>
            <w:vAlign w:val="center"/>
            <w:hideMark/>
          </w:tcPr>
          <w:p w14:paraId="5D1EFE8F" w14:textId="77777777" w:rsidR="004C26CA" w:rsidRPr="000C5CA4" w:rsidRDefault="004C26CA" w:rsidP="00827F37">
            <w:pPr>
              <w:pStyle w:val="Heading4"/>
              <w:spacing w:line="240" w:lineRule="auto"/>
              <w:jc w:val="center"/>
              <w:outlineLvl w:val="3"/>
              <w:rPr>
                <w:rFonts w:ascii="Cambria" w:hAnsi="Cambria"/>
                <w:smallCaps/>
                <w:szCs w:val="18"/>
              </w:rPr>
            </w:pPr>
          </w:p>
        </w:tc>
        <w:tc>
          <w:tcPr>
            <w:tcW w:w="1759" w:type="dxa"/>
          </w:tcPr>
          <w:p w14:paraId="0918961C"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Promotivni materijali o ciljevima Gender akcionog plana TK su dostupni na web stranicama i u šalter salama</w:t>
            </w:r>
          </w:p>
        </w:tc>
        <w:tc>
          <w:tcPr>
            <w:tcW w:w="1557" w:type="dxa"/>
          </w:tcPr>
          <w:p w14:paraId="0F4361B4"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w:t>
            </w:r>
          </w:p>
        </w:tc>
        <w:tc>
          <w:tcPr>
            <w:tcW w:w="1665" w:type="dxa"/>
          </w:tcPr>
          <w:p w14:paraId="2707EC57"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Broj izrađenih materijala</w:t>
            </w:r>
          </w:p>
        </w:tc>
        <w:tc>
          <w:tcPr>
            <w:tcW w:w="1487" w:type="dxa"/>
          </w:tcPr>
          <w:p w14:paraId="7602970D"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Septembar 2025</w:t>
            </w:r>
          </w:p>
        </w:tc>
        <w:tc>
          <w:tcPr>
            <w:tcW w:w="1408" w:type="dxa"/>
          </w:tcPr>
          <w:p w14:paraId="5C69B892"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i partnerstvo</w:t>
            </w:r>
          </w:p>
        </w:tc>
        <w:tc>
          <w:tcPr>
            <w:tcW w:w="534" w:type="dxa"/>
            <w:textDirection w:val="btLr"/>
            <w:vAlign w:val="center"/>
          </w:tcPr>
          <w:p w14:paraId="5EDA93C7"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98" w:type="dxa"/>
            <w:textDirection w:val="btLr"/>
            <w:vAlign w:val="center"/>
          </w:tcPr>
          <w:p w14:paraId="026411DD"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540DF339"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3638A46E"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3608EED2"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0FBEC67C"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24D12E82"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29" w:type="dxa"/>
            <w:textDirection w:val="btLr"/>
            <w:vAlign w:val="center"/>
          </w:tcPr>
          <w:p w14:paraId="07F1F231"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4C26CA" w:rsidRPr="000C5CA4" w14:paraId="3D2BB504" w14:textId="77777777" w:rsidTr="00827F37">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351" w:type="dxa"/>
            <w:vMerge w:val="restart"/>
            <w:vAlign w:val="center"/>
            <w:hideMark/>
          </w:tcPr>
          <w:p w14:paraId="58687685" w14:textId="77777777" w:rsidR="004C26CA" w:rsidRPr="000C5CA4" w:rsidRDefault="004C26CA" w:rsidP="00827F37">
            <w:pPr>
              <w:pStyle w:val="Heading4"/>
              <w:spacing w:line="240" w:lineRule="auto"/>
              <w:jc w:val="center"/>
              <w:outlineLvl w:val="3"/>
              <w:rPr>
                <w:rFonts w:ascii="Cambria" w:hAnsi="Cambria"/>
                <w:i/>
                <w:iCs/>
                <w:color w:val="404040" w:themeColor="text1" w:themeTint="BF"/>
                <w:szCs w:val="18"/>
              </w:rPr>
            </w:pPr>
            <w:r w:rsidRPr="000C5CA4">
              <w:rPr>
                <w:rFonts w:ascii="Cambria" w:hAnsi="Cambria"/>
                <w:szCs w:val="18"/>
              </w:rPr>
              <w:lastRenderedPageBreak/>
              <w:t xml:space="preserve">3.2. Redovno se prati stanje ravnopravnosti spolova na području </w:t>
            </w:r>
            <w:r w:rsidRPr="000C5CA4">
              <w:rPr>
                <w:rFonts w:ascii="Cambria" w:hAnsi="Cambria"/>
                <w:szCs w:val="18"/>
                <w:u w:color="92D050"/>
              </w:rPr>
              <w:t>KS</w:t>
            </w:r>
          </w:p>
        </w:tc>
        <w:tc>
          <w:tcPr>
            <w:tcW w:w="1759" w:type="dxa"/>
          </w:tcPr>
          <w:p w14:paraId="3A97B79D"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 organizuje sjednice sa ciljem praćenja provođenja (monitoring) Gender akcionog plana</w:t>
            </w:r>
          </w:p>
        </w:tc>
        <w:tc>
          <w:tcPr>
            <w:tcW w:w="1557" w:type="dxa"/>
          </w:tcPr>
          <w:p w14:paraId="696BE011"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w:t>
            </w:r>
          </w:p>
        </w:tc>
        <w:tc>
          <w:tcPr>
            <w:tcW w:w="1665" w:type="dxa"/>
          </w:tcPr>
          <w:p w14:paraId="6A7FEACD"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Održana polugodišnja i godišnja sjednica na kojoj je razmotren izvještaj o provođenju GAP te su predloženi zaključci za Skupštinu</w:t>
            </w:r>
          </w:p>
        </w:tc>
        <w:tc>
          <w:tcPr>
            <w:tcW w:w="1487" w:type="dxa"/>
          </w:tcPr>
          <w:p w14:paraId="485FB9A0"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Septembar i mart svake godine</w:t>
            </w:r>
          </w:p>
        </w:tc>
        <w:tc>
          <w:tcPr>
            <w:tcW w:w="1408" w:type="dxa"/>
          </w:tcPr>
          <w:p w14:paraId="1B611255"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34" w:type="dxa"/>
            <w:textDirection w:val="btLr"/>
            <w:vAlign w:val="center"/>
          </w:tcPr>
          <w:p w14:paraId="76090D3C"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98" w:type="dxa"/>
            <w:textDirection w:val="btLr"/>
            <w:vAlign w:val="center"/>
          </w:tcPr>
          <w:p w14:paraId="544DA624"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41EB89EC"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0416EA38"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7E2424C1"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4BA30C14"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491340CB"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29" w:type="dxa"/>
            <w:textDirection w:val="btLr"/>
            <w:vAlign w:val="center"/>
          </w:tcPr>
          <w:p w14:paraId="02A98A4F"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4C26CA" w:rsidRPr="000C5CA4" w14:paraId="731F9401" w14:textId="77777777" w:rsidTr="00827F37">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351" w:type="dxa"/>
            <w:vMerge/>
            <w:vAlign w:val="center"/>
          </w:tcPr>
          <w:p w14:paraId="50CC3CC3" w14:textId="77777777" w:rsidR="004C26CA" w:rsidRPr="000C5CA4" w:rsidRDefault="004C26CA" w:rsidP="00827F37">
            <w:pPr>
              <w:pStyle w:val="Heading4"/>
              <w:spacing w:line="240" w:lineRule="auto"/>
              <w:jc w:val="center"/>
              <w:outlineLvl w:val="3"/>
              <w:rPr>
                <w:rFonts w:ascii="Cambria" w:hAnsi="Cambria"/>
                <w:smallCaps/>
                <w:szCs w:val="18"/>
              </w:rPr>
            </w:pPr>
          </w:p>
        </w:tc>
        <w:tc>
          <w:tcPr>
            <w:tcW w:w="1759" w:type="dxa"/>
          </w:tcPr>
          <w:p w14:paraId="4643DB4F"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u w:color="92D050"/>
              </w:rPr>
              <w:t>Skupština</w:t>
            </w:r>
            <w:r w:rsidRPr="000C5CA4">
              <w:rPr>
                <w:rFonts w:ascii="Cambria" w:hAnsi="Cambria"/>
                <w:sz w:val="18"/>
                <w:szCs w:val="18"/>
              </w:rPr>
              <w:t xml:space="preserve"> razmatra izvještaj o provođenju Gender akcionog plana</w:t>
            </w:r>
          </w:p>
        </w:tc>
        <w:tc>
          <w:tcPr>
            <w:tcW w:w="1557" w:type="dxa"/>
          </w:tcPr>
          <w:p w14:paraId="344130B4"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u w:color="92D050"/>
              </w:rPr>
              <w:t>Skupština</w:t>
            </w:r>
          </w:p>
        </w:tc>
        <w:tc>
          <w:tcPr>
            <w:tcW w:w="1665" w:type="dxa"/>
          </w:tcPr>
          <w:p w14:paraId="43F63C69"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Razmotren izvještaj i doneseni zaključci o prioritetima</w:t>
            </w:r>
          </w:p>
        </w:tc>
        <w:tc>
          <w:tcPr>
            <w:tcW w:w="1487" w:type="dxa"/>
          </w:tcPr>
          <w:p w14:paraId="58786BDF"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April svake godine</w:t>
            </w:r>
          </w:p>
        </w:tc>
        <w:tc>
          <w:tcPr>
            <w:tcW w:w="1408" w:type="dxa"/>
          </w:tcPr>
          <w:p w14:paraId="1ECF4126"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34" w:type="dxa"/>
            <w:textDirection w:val="btLr"/>
            <w:vAlign w:val="center"/>
          </w:tcPr>
          <w:p w14:paraId="1003214E"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98" w:type="dxa"/>
            <w:textDirection w:val="btLr"/>
            <w:vAlign w:val="center"/>
          </w:tcPr>
          <w:p w14:paraId="63216049"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1277BE25"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16C63AF4"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4DD06E3E"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502224ED"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48EF8139"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29" w:type="dxa"/>
            <w:textDirection w:val="btLr"/>
            <w:vAlign w:val="center"/>
          </w:tcPr>
          <w:p w14:paraId="273D3B7B"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4C26CA" w:rsidRPr="000C5CA4" w14:paraId="3675CD7F" w14:textId="77777777" w:rsidTr="00827F37">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351" w:type="dxa"/>
            <w:vMerge/>
            <w:vAlign w:val="center"/>
          </w:tcPr>
          <w:p w14:paraId="1D7DDEA8" w14:textId="77777777" w:rsidR="004C26CA" w:rsidRPr="000C5CA4" w:rsidRDefault="004C26CA" w:rsidP="00827F37">
            <w:pPr>
              <w:pStyle w:val="Heading4"/>
              <w:spacing w:line="240" w:lineRule="auto"/>
              <w:jc w:val="center"/>
              <w:outlineLvl w:val="3"/>
              <w:rPr>
                <w:rFonts w:ascii="Cambria" w:hAnsi="Cambria"/>
                <w:smallCaps/>
                <w:szCs w:val="18"/>
              </w:rPr>
            </w:pPr>
          </w:p>
        </w:tc>
        <w:tc>
          <w:tcPr>
            <w:tcW w:w="1759" w:type="dxa"/>
          </w:tcPr>
          <w:p w14:paraId="00D382EA"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Izvršiti procjenu (evaluaciju) provođenja Gender akcionog plana kao osnovu za izradu narednog Gender akcionog plana</w:t>
            </w:r>
          </w:p>
        </w:tc>
        <w:tc>
          <w:tcPr>
            <w:tcW w:w="1557" w:type="dxa"/>
          </w:tcPr>
          <w:p w14:paraId="4D52011B"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w:t>
            </w:r>
          </w:p>
        </w:tc>
        <w:tc>
          <w:tcPr>
            <w:tcW w:w="1665" w:type="dxa"/>
          </w:tcPr>
          <w:p w14:paraId="5E014831"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Izvršena procjena provođenja Gender akcionog plana </w:t>
            </w:r>
          </w:p>
        </w:tc>
        <w:tc>
          <w:tcPr>
            <w:tcW w:w="1487" w:type="dxa"/>
          </w:tcPr>
          <w:p w14:paraId="723B6DDE"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Juni 2027. godine</w:t>
            </w:r>
          </w:p>
        </w:tc>
        <w:tc>
          <w:tcPr>
            <w:tcW w:w="1408" w:type="dxa"/>
          </w:tcPr>
          <w:p w14:paraId="6CF2D754"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 i partnerstvo</w:t>
            </w:r>
          </w:p>
        </w:tc>
        <w:tc>
          <w:tcPr>
            <w:tcW w:w="534" w:type="dxa"/>
            <w:textDirection w:val="btLr"/>
            <w:vAlign w:val="center"/>
          </w:tcPr>
          <w:p w14:paraId="3B3BB11E"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98" w:type="dxa"/>
            <w:textDirection w:val="btLr"/>
            <w:vAlign w:val="center"/>
          </w:tcPr>
          <w:p w14:paraId="7C06B29F"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27FF7F17"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0FBB5C9E" w14:textId="5072089B" w:rsidR="004C26CA" w:rsidRPr="000C5CA4" w:rsidRDefault="0070073E"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x</w:t>
            </w:r>
          </w:p>
        </w:tc>
        <w:tc>
          <w:tcPr>
            <w:tcW w:w="565" w:type="dxa"/>
            <w:textDirection w:val="btLr"/>
            <w:vAlign w:val="center"/>
          </w:tcPr>
          <w:p w14:paraId="21DCC2E9"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2D2E3040"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5FFDC54A"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29" w:type="dxa"/>
            <w:textDirection w:val="btLr"/>
            <w:vAlign w:val="center"/>
          </w:tcPr>
          <w:p w14:paraId="25869102"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4C26CA" w:rsidRPr="000C5CA4" w14:paraId="16254200" w14:textId="77777777" w:rsidTr="00827F37">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351" w:type="dxa"/>
            <w:vMerge w:val="restart"/>
            <w:vAlign w:val="center"/>
          </w:tcPr>
          <w:p w14:paraId="60595DD2" w14:textId="77777777" w:rsidR="004C26CA" w:rsidRPr="000C5CA4" w:rsidRDefault="004C26CA" w:rsidP="00827F37">
            <w:pPr>
              <w:pStyle w:val="Heading4"/>
              <w:spacing w:line="240" w:lineRule="auto"/>
              <w:jc w:val="center"/>
              <w:outlineLvl w:val="3"/>
              <w:rPr>
                <w:rFonts w:ascii="Cambria" w:hAnsi="Cambria"/>
                <w:i/>
                <w:iCs/>
                <w:color w:val="404040" w:themeColor="text1" w:themeTint="BF"/>
                <w:szCs w:val="18"/>
              </w:rPr>
            </w:pPr>
            <w:r w:rsidRPr="000C5CA4">
              <w:rPr>
                <w:rFonts w:ascii="Cambria" w:hAnsi="Cambria"/>
                <w:szCs w:val="18"/>
              </w:rPr>
              <w:lastRenderedPageBreak/>
              <w:t>3.3. Civilno društvo učestvuje u definiranju prioriteta za djelovanje u oblasti ravnopravnosti spolova</w:t>
            </w:r>
          </w:p>
        </w:tc>
        <w:tc>
          <w:tcPr>
            <w:tcW w:w="1759" w:type="dxa"/>
          </w:tcPr>
          <w:p w14:paraId="5F713594"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Revidiran i dopunjen je spisak organizacija civilnog društva i pojedinaca koje se bave ravnopravnošću spolova</w:t>
            </w:r>
          </w:p>
        </w:tc>
        <w:tc>
          <w:tcPr>
            <w:tcW w:w="1557" w:type="dxa"/>
          </w:tcPr>
          <w:p w14:paraId="15214503"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w:t>
            </w:r>
          </w:p>
        </w:tc>
        <w:tc>
          <w:tcPr>
            <w:tcW w:w="1665" w:type="dxa"/>
          </w:tcPr>
          <w:p w14:paraId="38613A30"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Izrađeni kriteriji za odabir organizacija i pojedinaca</w:t>
            </w:r>
          </w:p>
          <w:p w14:paraId="050222D3"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Spisak dostupan na web stranicama </w:t>
            </w:r>
            <w:r w:rsidRPr="000C5CA4">
              <w:rPr>
                <w:rFonts w:ascii="Cambria" w:hAnsi="Cambria"/>
                <w:sz w:val="18"/>
                <w:szCs w:val="18"/>
                <w:u w:color="92D050"/>
              </w:rPr>
              <w:t>Vlade i Skupštine</w:t>
            </w:r>
          </w:p>
        </w:tc>
        <w:tc>
          <w:tcPr>
            <w:tcW w:w="1487" w:type="dxa"/>
          </w:tcPr>
          <w:p w14:paraId="3DFEB4E5"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Kraj 2025. godine</w:t>
            </w:r>
          </w:p>
        </w:tc>
        <w:tc>
          <w:tcPr>
            <w:tcW w:w="1408" w:type="dxa"/>
          </w:tcPr>
          <w:p w14:paraId="6F6E9087"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34" w:type="dxa"/>
            <w:textDirection w:val="btLr"/>
            <w:vAlign w:val="center"/>
          </w:tcPr>
          <w:p w14:paraId="7FAB74FD"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98" w:type="dxa"/>
            <w:textDirection w:val="btLr"/>
            <w:vAlign w:val="center"/>
          </w:tcPr>
          <w:p w14:paraId="6FB4081E"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68A84AA0"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1B43D357"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140F63B6"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2D70EBF3"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601890E8"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29" w:type="dxa"/>
            <w:textDirection w:val="btLr"/>
            <w:vAlign w:val="center"/>
          </w:tcPr>
          <w:p w14:paraId="297C0700"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4C26CA" w:rsidRPr="000C5CA4" w14:paraId="3F111F15" w14:textId="77777777" w:rsidTr="00827F37">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351" w:type="dxa"/>
            <w:vMerge/>
            <w:vAlign w:val="center"/>
          </w:tcPr>
          <w:p w14:paraId="2E61B9EA" w14:textId="77777777" w:rsidR="004C26CA" w:rsidRPr="000C5CA4" w:rsidRDefault="004C26CA" w:rsidP="00827F37">
            <w:pPr>
              <w:spacing w:line="240" w:lineRule="auto"/>
              <w:jc w:val="center"/>
              <w:rPr>
                <w:rFonts w:ascii="Cambria" w:hAnsi="Cambria"/>
                <w:sz w:val="18"/>
                <w:szCs w:val="18"/>
              </w:rPr>
            </w:pPr>
          </w:p>
        </w:tc>
        <w:tc>
          <w:tcPr>
            <w:tcW w:w="1759" w:type="dxa"/>
          </w:tcPr>
          <w:p w14:paraId="76261D85"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Mapiranje kapaciteta, potreba i rezultata (postignutih ciljeva) realtivnih aktera civilnog društva kroz anketiranje</w:t>
            </w:r>
          </w:p>
        </w:tc>
        <w:tc>
          <w:tcPr>
            <w:tcW w:w="1557" w:type="dxa"/>
          </w:tcPr>
          <w:p w14:paraId="2F477D84"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w:t>
            </w:r>
          </w:p>
        </w:tc>
        <w:tc>
          <w:tcPr>
            <w:tcW w:w="1665" w:type="dxa"/>
          </w:tcPr>
          <w:p w14:paraId="64A6F0B7"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#realizovanih i analiziranih anketa i održanih fokus grupa </w:t>
            </w:r>
          </w:p>
        </w:tc>
        <w:tc>
          <w:tcPr>
            <w:tcW w:w="1487" w:type="dxa"/>
          </w:tcPr>
          <w:p w14:paraId="736D8C6C"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Svake dvije godine počev od 2025.</w:t>
            </w:r>
          </w:p>
        </w:tc>
        <w:tc>
          <w:tcPr>
            <w:tcW w:w="1408" w:type="dxa"/>
          </w:tcPr>
          <w:p w14:paraId="4CB0F34F"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Mapiranje kapaciteta, potreba i rezultata (postignutih ciljeva) realtivnih aktera civilnog društva kroz anketiranje</w:t>
            </w:r>
          </w:p>
        </w:tc>
        <w:tc>
          <w:tcPr>
            <w:tcW w:w="534" w:type="dxa"/>
            <w:textDirection w:val="btLr"/>
            <w:vAlign w:val="center"/>
          </w:tcPr>
          <w:p w14:paraId="3B730314"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98" w:type="dxa"/>
            <w:textDirection w:val="btLr"/>
            <w:vAlign w:val="center"/>
          </w:tcPr>
          <w:p w14:paraId="4649E6E3"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1C2B7D64"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4B762085"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0DCA7B31"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2BE4B75B"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005AEC83"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29" w:type="dxa"/>
            <w:textDirection w:val="btLr"/>
            <w:vAlign w:val="center"/>
          </w:tcPr>
          <w:p w14:paraId="3B3017E2"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4C26CA" w:rsidRPr="000C5CA4" w14:paraId="2D6426C9" w14:textId="77777777" w:rsidTr="00827F37">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351" w:type="dxa"/>
            <w:vMerge/>
            <w:vAlign w:val="center"/>
          </w:tcPr>
          <w:p w14:paraId="0EE232A9" w14:textId="77777777" w:rsidR="004C26CA" w:rsidRPr="000C5CA4" w:rsidRDefault="004C26CA" w:rsidP="00827F37">
            <w:pPr>
              <w:spacing w:line="240" w:lineRule="auto"/>
              <w:jc w:val="center"/>
              <w:rPr>
                <w:rFonts w:ascii="Cambria" w:hAnsi="Cambria"/>
                <w:sz w:val="18"/>
                <w:szCs w:val="18"/>
              </w:rPr>
            </w:pPr>
          </w:p>
        </w:tc>
        <w:tc>
          <w:tcPr>
            <w:tcW w:w="1759" w:type="dxa"/>
          </w:tcPr>
          <w:p w14:paraId="16BE428E"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 xml:space="preserve">Organizacija i realizacija digitalnih kampanja s fokusom na mlade i muškarce u cilju educiranja </w:t>
            </w:r>
          </w:p>
        </w:tc>
        <w:tc>
          <w:tcPr>
            <w:tcW w:w="1557" w:type="dxa"/>
          </w:tcPr>
          <w:p w14:paraId="1C0C0E2A"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 NVO</w:t>
            </w:r>
          </w:p>
        </w:tc>
        <w:tc>
          <w:tcPr>
            <w:tcW w:w="1665" w:type="dxa"/>
          </w:tcPr>
          <w:p w14:paraId="15882D2A"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#realizovanih kampanja</w:t>
            </w:r>
          </w:p>
          <w:p w14:paraId="243957CF"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Praćenje posjećenosti digitalnim platformamam na kojima su kampanje realizovanje</w:t>
            </w:r>
          </w:p>
        </w:tc>
        <w:tc>
          <w:tcPr>
            <w:tcW w:w="1487" w:type="dxa"/>
          </w:tcPr>
          <w:p w14:paraId="46EA78D7"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Kontinuirano</w:t>
            </w:r>
          </w:p>
        </w:tc>
        <w:tc>
          <w:tcPr>
            <w:tcW w:w="1408" w:type="dxa"/>
          </w:tcPr>
          <w:p w14:paraId="2C2AA560"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34" w:type="dxa"/>
            <w:textDirection w:val="btLr"/>
            <w:vAlign w:val="center"/>
          </w:tcPr>
          <w:p w14:paraId="7B172279"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98" w:type="dxa"/>
            <w:textDirection w:val="btLr"/>
            <w:vAlign w:val="center"/>
          </w:tcPr>
          <w:p w14:paraId="41926A8D"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290E80F6"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2C7619C3"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49C710C0"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74DA7774"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7C2597F2"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29" w:type="dxa"/>
            <w:textDirection w:val="btLr"/>
            <w:vAlign w:val="center"/>
          </w:tcPr>
          <w:p w14:paraId="49431407"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4C26CA" w:rsidRPr="000C5CA4" w14:paraId="45796738" w14:textId="77777777" w:rsidTr="00827F37">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351" w:type="dxa"/>
            <w:vMerge/>
            <w:vAlign w:val="center"/>
          </w:tcPr>
          <w:p w14:paraId="7630C97A" w14:textId="77777777" w:rsidR="004C26CA" w:rsidRPr="000C5CA4" w:rsidRDefault="004C26CA" w:rsidP="00827F37">
            <w:pPr>
              <w:spacing w:line="240" w:lineRule="auto"/>
              <w:jc w:val="center"/>
              <w:rPr>
                <w:rFonts w:ascii="Cambria" w:hAnsi="Cambria"/>
                <w:sz w:val="18"/>
                <w:szCs w:val="18"/>
              </w:rPr>
            </w:pPr>
          </w:p>
        </w:tc>
        <w:tc>
          <w:tcPr>
            <w:tcW w:w="1759" w:type="dxa"/>
          </w:tcPr>
          <w:p w14:paraId="48AE5311" w14:textId="33DD6B81"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Anketiranje lokalnih zajednica o preprekama u implemen</w:t>
            </w:r>
            <w:r w:rsidR="0070073E">
              <w:rPr>
                <w:rFonts w:ascii="Cambria" w:hAnsi="Cambria"/>
                <w:sz w:val="18"/>
                <w:szCs w:val="18"/>
              </w:rPr>
              <w:t>t</w:t>
            </w:r>
            <w:r w:rsidRPr="000C5CA4">
              <w:rPr>
                <w:rFonts w:ascii="Cambria" w:hAnsi="Cambria"/>
                <w:sz w:val="18"/>
                <w:szCs w:val="18"/>
              </w:rPr>
              <w:t>aciji GAPa</w:t>
            </w:r>
          </w:p>
        </w:tc>
        <w:tc>
          <w:tcPr>
            <w:tcW w:w="1557" w:type="dxa"/>
          </w:tcPr>
          <w:p w14:paraId="62B595DB"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 NVO</w:t>
            </w:r>
          </w:p>
        </w:tc>
        <w:tc>
          <w:tcPr>
            <w:tcW w:w="1665" w:type="dxa"/>
          </w:tcPr>
          <w:p w14:paraId="6B42D4DD"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Rezultati sprovedenih anketa</w:t>
            </w:r>
          </w:p>
        </w:tc>
        <w:tc>
          <w:tcPr>
            <w:tcW w:w="1487" w:type="dxa"/>
          </w:tcPr>
          <w:p w14:paraId="7DED081C"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2025-2026</w:t>
            </w:r>
          </w:p>
        </w:tc>
        <w:tc>
          <w:tcPr>
            <w:tcW w:w="1408" w:type="dxa"/>
          </w:tcPr>
          <w:p w14:paraId="095D14AF"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34" w:type="dxa"/>
            <w:textDirection w:val="btLr"/>
            <w:vAlign w:val="center"/>
          </w:tcPr>
          <w:p w14:paraId="52EF3073"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98" w:type="dxa"/>
            <w:textDirection w:val="btLr"/>
            <w:vAlign w:val="center"/>
          </w:tcPr>
          <w:p w14:paraId="3D22926E"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725859F4"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427FD73B"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3D70DA5C"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2D75D2CA"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1C246148"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29" w:type="dxa"/>
            <w:textDirection w:val="btLr"/>
            <w:vAlign w:val="center"/>
          </w:tcPr>
          <w:p w14:paraId="3AB4CF17"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r w:rsidR="004C26CA" w:rsidRPr="000C5CA4" w14:paraId="27A3B60B" w14:textId="77777777" w:rsidTr="00827F37">
        <w:trPr>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351" w:type="dxa"/>
            <w:vMerge/>
            <w:vAlign w:val="center"/>
          </w:tcPr>
          <w:p w14:paraId="5D799C38" w14:textId="77777777" w:rsidR="004C26CA" w:rsidRPr="000C5CA4" w:rsidRDefault="004C26CA" w:rsidP="00827F37">
            <w:pPr>
              <w:spacing w:line="240" w:lineRule="auto"/>
              <w:jc w:val="center"/>
              <w:rPr>
                <w:rFonts w:ascii="Cambria" w:hAnsi="Cambria"/>
                <w:sz w:val="18"/>
                <w:szCs w:val="18"/>
              </w:rPr>
            </w:pPr>
          </w:p>
        </w:tc>
        <w:tc>
          <w:tcPr>
            <w:tcW w:w="1759" w:type="dxa"/>
          </w:tcPr>
          <w:p w14:paraId="1D6AF81F"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Online kursevi za širu javnost o ciljevima GAPa i ravnopravnosti spolova u TK</w:t>
            </w:r>
          </w:p>
        </w:tc>
        <w:tc>
          <w:tcPr>
            <w:tcW w:w="1557" w:type="dxa"/>
          </w:tcPr>
          <w:p w14:paraId="2BBD86B1"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 NVO</w:t>
            </w:r>
          </w:p>
        </w:tc>
        <w:tc>
          <w:tcPr>
            <w:tcW w:w="1665" w:type="dxa"/>
          </w:tcPr>
          <w:p w14:paraId="20E50E71"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#posječenosti kurseva</w:t>
            </w:r>
          </w:p>
        </w:tc>
        <w:tc>
          <w:tcPr>
            <w:tcW w:w="1487" w:type="dxa"/>
          </w:tcPr>
          <w:p w14:paraId="0E67CC3C"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C5CA4">
              <w:rPr>
                <w:rFonts w:ascii="Cambria" w:hAnsi="Cambria"/>
                <w:sz w:val="18"/>
                <w:szCs w:val="18"/>
              </w:rPr>
              <w:t>Kraj 2026. godine</w:t>
            </w:r>
          </w:p>
        </w:tc>
        <w:tc>
          <w:tcPr>
            <w:tcW w:w="1408" w:type="dxa"/>
          </w:tcPr>
          <w:p w14:paraId="3F12E2B4" w14:textId="77777777" w:rsidR="004C26CA" w:rsidRPr="000C5CA4" w:rsidRDefault="004C26CA" w:rsidP="00827F37">
            <w:pPr>
              <w:spacing w:line="240" w:lineRule="auto"/>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34" w:type="dxa"/>
            <w:textDirection w:val="btLr"/>
            <w:vAlign w:val="center"/>
          </w:tcPr>
          <w:p w14:paraId="528FE31D"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98" w:type="dxa"/>
            <w:textDirection w:val="btLr"/>
            <w:vAlign w:val="center"/>
          </w:tcPr>
          <w:p w14:paraId="7508B390"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69DD87F5"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72B5AA87"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3E5BE5CB"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668B742F"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65" w:type="dxa"/>
            <w:textDirection w:val="btLr"/>
            <w:vAlign w:val="center"/>
          </w:tcPr>
          <w:p w14:paraId="0EF52E4E"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529" w:type="dxa"/>
            <w:textDirection w:val="btLr"/>
            <w:vAlign w:val="center"/>
          </w:tcPr>
          <w:p w14:paraId="6EFE2A25" w14:textId="77777777" w:rsidR="004C26CA" w:rsidRPr="000C5CA4" w:rsidRDefault="004C26CA" w:rsidP="00827F37">
            <w:pPr>
              <w:spacing w:line="240" w:lineRule="auto"/>
              <w:ind w:left="113"/>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4C26CA" w:rsidRPr="000C5CA4" w14:paraId="1D85CE42" w14:textId="77777777" w:rsidTr="00827F37">
        <w:trPr>
          <w:cnfStyle w:val="000000100000" w:firstRow="0" w:lastRow="0" w:firstColumn="0" w:lastColumn="0" w:oddVBand="0" w:evenVBand="0" w:oddHBand="1" w:evenHBand="0" w:firstRowFirstColumn="0" w:firstRowLastColumn="0" w:lastRowFirstColumn="0" w:lastRowLastColumn="0"/>
          <w:cantSplit/>
          <w:trHeight w:val="1134"/>
          <w:tblCellSpacing w:w="20" w:type="dxa"/>
        </w:trPr>
        <w:tc>
          <w:tcPr>
            <w:cnfStyle w:val="001000000000" w:firstRow="0" w:lastRow="0" w:firstColumn="1" w:lastColumn="0" w:oddVBand="0" w:evenVBand="0" w:oddHBand="0" w:evenHBand="0" w:firstRowFirstColumn="0" w:firstRowLastColumn="0" w:lastRowFirstColumn="0" w:lastRowLastColumn="0"/>
            <w:tcW w:w="1351" w:type="dxa"/>
            <w:vAlign w:val="center"/>
          </w:tcPr>
          <w:p w14:paraId="4E8B8D5A" w14:textId="77777777" w:rsidR="004C26CA" w:rsidRPr="000C5CA4" w:rsidRDefault="004C26CA" w:rsidP="00827F37">
            <w:pPr>
              <w:spacing w:line="240" w:lineRule="auto"/>
              <w:jc w:val="center"/>
              <w:rPr>
                <w:rFonts w:ascii="Cambria" w:hAnsi="Cambria"/>
                <w:sz w:val="18"/>
                <w:szCs w:val="18"/>
              </w:rPr>
            </w:pPr>
          </w:p>
        </w:tc>
        <w:tc>
          <w:tcPr>
            <w:tcW w:w="1759" w:type="dxa"/>
          </w:tcPr>
          <w:p w14:paraId="5ABA88DD"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Organizira se tematska sjednica sa civilnim društvom sa ciljem definiranja prioriteta u oblasti ravnopravnosti spolova</w:t>
            </w:r>
          </w:p>
        </w:tc>
        <w:tc>
          <w:tcPr>
            <w:tcW w:w="1557" w:type="dxa"/>
          </w:tcPr>
          <w:p w14:paraId="412177F4"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Koordinacioni odbor</w:t>
            </w:r>
          </w:p>
        </w:tc>
        <w:tc>
          <w:tcPr>
            <w:tcW w:w="1665" w:type="dxa"/>
          </w:tcPr>
          <w:p w14:paraId="3C03942C"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Tokom tematske sjednice prikupljeni prijedlozi civilnog društva u pogledu prioriteta</w:t>
            </w:r>
          </w:p>
        </w:tc>
        <w:tc>
          <w:tcPr>
            <w:tcW w:w="1487" w:type="dxa"/>
          </w:tcPr>
          <w:p w14:paraId="70582F3A"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Oktobar svake godine</w:t>
            </w:r>
          </w:p>
        </w:tc>
        <w:tc>
          <w:tcPr>
            <w:tcW w:w="1408" w:type="dxa"/>
          </w:tcPr>
          <w:p w14:paraId="0218BCB5" w14:textId="77777777" w:rsidR="004C26CA" w:rsidRPr="000C5CA4" w:rsidRDefault="004C26CA" w:rsidP="00827F37">
            <w:pPr>
              <w:spacing w:line="240" w:lineRule="auto"/>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C5CA4">
              <w:rPr>
                <w:rFonts w:ascii="Cambria" w:hAnsi="Cambria"/>
                <w:sz w:val="18"/>
                <w:szCs w:val="18"/>
              </w:rPr>
              <w:t>Redovna sredstva</w:t>
            </w:r>
          </w:p>
        </w:tc>
        <w:tc>
          <w:tcPr>
            <w:tcW w:w="534" w:type="dxa"/>
            <w:textDirection w:val="btLr"/>
            <w:vAlign w:val="center"/>
          </w:tcPr>
          <w:p w14:paraId="0A0C3051"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98" w:type="dxa"/>
            <w:textDirection w:val="btLr"/>
            <w:vAlign w:val="center"/>
          </w:tcPr>
          <w:p w14:paraId="10A64EA0"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57230743"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75DA7A4E"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5992E624"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7393CAD1"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65" w:type="dxa"/>
            <w:textDirection w:val="btLr"/>
            <w:vAlign w:val="center"/>
          </w:tcPr>
          <w:p w14:paraId="07D8A8AB"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529" w:type="dxa"/>
            <w:textDirection w:val="btLr"/>
            <w:vAlign w:val="center"/>
          </w:tcPr>
          <w:p w14:paraId="1DCB5B99" w14:textId="77777777" w:rsidR="004C26CA" w:rsidRPr="000C5CA4" w:rsidRDefault="004C26CA" w:rsidP="00827F37">
            <w:pPr>
              <w:spacing w:line="240" w:lineRule="auto"/>
              <w:ind w:left="113"/>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r>
    </w:tbl>
    <w:p w14:paraId="75D08D96" w14:textId="6413CE10" w:rsidR="004C26CA" w:rsidRPr="000C5CA4" w:rsidRDefault="004C26CA" w:rsidP="004C26CA">
      <w:pPr>
        <w:spacing w:line="276" w:lineRule="auto"/>
        <w:rPr>
          <w:sz w:val="22"/>
          <w:szCs w:val="20"/>
        </w:rPr>
        <w:sectPr w:rsidR="004C26CA" w:rsidRPr="000C5CA4" w:rsidSect="0071213A">
          <w:pgSz w:w="16840" w:h="11910" w:orient="landscape"/>
          <w:pgMar w:top="1440" w:right="1440" w:bottom="1440" w:left="1440" w:header="0" w:footer="923" w:gutter="0"/>
          <w:cols w:space="720"/>
          <w:docGrid w:linePitch="299"/>
        </w:sectPr>
      </w:pPr>
    </w:p>
    <w:p w14:paraId="643F3B52" w14:textId="470CB20F" w:rsidR="00ED28FE" w:rsidRPr="000C5CA4" w:rsidRDefault="00ED28FE" w:rsidP="00672AC4">
      <w:pPr>
        <w:pStyle w:val="Heading1"/>
        <w:rPr>
          <w:sz w:val="22"/>
          <w:szCs w:val="22"/>
        </w:rPr>
      </w:pPr>
      <w:bookmarkStart w:id="58" w:name="_Toc73392281"/>
      <w:bookmarkStart w:id="59" w:name="_Toc74118445"/>
      <w:bookmarkStart w:id="60" w:name="_Toc79420472"/>
      <w:bookmarkStart w:id="61" w:name="_Toc200303213"/>
      <w:r w:rsidRPr="000C5CA4">
        <w:rPr>
          <w:sz w:val="22"/>
          <w:szCs w:val="22"/>
        </w:rPr>
        <w:lastRenderedPageBreak/>
        <w:t>Monitoring i evaluacija Gender akcionog plana</w:t>
      </w:r>
      <w:bookmarkEnd w:id="58"/>
      <w:bookmarkEnd w:id="59"/>
      <w:bookmarkEnd w:id="60"/>
      <w:bookmarkEnd w:id="61"/>
      <w:r w:rsidRPr="000C5CA4">
        <w:rPr>
          <w:sz w:val="22"/>
          <w:szCs w:val="22"/>
        </w:rPr>
        <w:t xml:space="preserve"> </w:t>
      </w:r>
    </w:p>
    <w:p w14:paraId="68D39300" w14:textId="77777777" w:rsidR="00ED28FE" w:rsidRPr="000C5CA4" w:rsidRDefault="00ED28FE" w:rsidP="00672AC4">
      <w:pPr>
        <w:spacing w:line="276" w:lineRule="auto"/>
        <w:rPr>
          <w:sz w:val="22"/>
          <w:szCs w:val="20"/>
        </w:rPr>
      </w:pPr>
    </w:p>
    <w:p w14:paraId="17BB5B84" w14:textId="7292CCF8" w:rsidR="00ED28FE" w:rsidRPr="000C5CA4" w:rsidRDefault="00ED28FE" w:rsidP="00672AC4">
      <w:pPr>
        <w:spacing w:line="276" w:lineRule="auto"/>
        <w:rPr>
          <w:sz w:val="22"/>
          <w:szCs w:val="20"/>
        </w:rPr>
      </w:pPr>
      <w:r w:rsidRPr="000C5CA4">
        <w:rPr>
          <w:sz w:val="22"/>
          <w:szCs w:val="20"/>
        </w:rPr>
        <w:t xml:space="preserve">Osnovni mehanizam praćenja provedbe Gender akcionog plana jeste nadzor koji provodi za nivo vlade Koordinacioni odbor. Zadatak </w:t>
      </w:r>
      <w:r w:rsidR="00A30313" w:rsidRPr="000C5CA4">
        <w:rPr>
          <w:sz w:val="22"/>
          <w:szCs w:val="20"/>
        </w:rPr>
        <w:t>Koordinacionog odbora</w:t>
      </w:r>
      <w:r w:rsidRPr="000C5CA4">
        <w:rPr>
          <w:sz w:val="22"/>
          <w:szCs w:val="20"/>
        </w:rPr>
        <w:t xml:space="preserve"> je da prati aktivnosti provedbe, prikupljanja informacija koje su potrebne za analizu ostvarenih ciljeva i rezultata i osiguraju ostvarenje rezultata aktivnosti navedenih u dokumentu. Nadzor nad provedbom pratit će se organizacijom sjednica za nadzor svakih šest mjeseci kojom prilikom će svi nosioci odgovornos</w:t>
      </w:r>
      <w:r w:rsidR="00A30313" w:rsidRPr="000C5CA4">
        <w:rPr>
          <w:sz w:val="22"/>
          <w:szCs w:val="20"/>
        </w:rPr>
        <w:t xml:space="preserve">ti putem Koordinacionog odbora </w:t>
      </w:r>
      <w:r w:rsidRPr="000C5CA4">
        <w:rPr>
          <w:sz w:val="22"/>
          <w:szCs w:val="20"/>
        </w:rPr>
        <w:t xml:space="preserve">redovno i sistematski dostavljati informacije o provedbi. Pored toga </w:t>
      </w:r>
      <w:r w:rsidR="00A30313" w:rsidRPr="000C5CA4">
        <w:rPr>
          <w:sz w:val="22"/>
          <w:szCs w:val="20"/>
        </w:rPr>
        <w:t>Koordinacioni odbor</w:t>
      </w:r>
      <w:r w:rsidRPr="000C5CA4">
        <w:rPr>
          <w:sz w:val="22"/>
          <w:szCs w:val="20"/>
        </w:rPr>
        <w:t xml:space="preserve"> će jednom godišnje informisati sve ključne aktere uključene u implementaciju aktivnosti o ostvareni rezultatima te će predlagati odgovarajuće zaključke. </w:t>
      </w:r>
    </w:p>
    <w:p w14:paraId="09B29BBE" w14:textId="77777777" w:rsidR="00ED28FE" w:rsidRPr="000C5CA4" w:rsidRDefault="00ED28FE" w:rsidP="00672AC4">
      <w:pPr>
        <w:pStyle w:val="BodyText"/>
        <w:rPr>
          <w:sz w:val="22"/>
          <w:szCs w:val="20"/>
        </w:rPr>
      </w:pPr>
    </w:p>
    <w:p w14:paraId="3F6B2A28" w14:textId="77777777" w:rsidR="00A30313" w:rsidRPr="000C5CA4" w:rsidRDefault="00A30313" w:rsidP="00A30313">
      <w:pPr>
        <w:rPr>
          <w:sz w:val="22"/>
          <w:szCs w:val="20"/>
          <w:lang w:eastAsia="en-US"/>
        </w:rPr>
      </w:pPr>
      <w:r w:rsidRPr="000C5CA4">
        <w:rPr>
          <w:noProof/>
          <w:sz w:val="22"/>
          <w:szCs w:val="20"/>
          <w:lang w:eastAsia="bs-Latn-BA"/>
        </w:rPr>
        <mc:AlternateContent>
          <mc:Choice Requires="wps">
            <w:drawing>
              <wp:anchor distT="45720" distB="45720" distL="114300" distR="114300" simplePos="0" relativeHeight="251672576" behindDoc="0" locked="0" layoutInCell="1" allowOverlap="1" wp14:anchorId="0509240E" wp14:editId="52D17628">
                <wp:simplePos x="0" y="0"/>
                <wp:positionH relativeFrom="column">
                  <wp:posOffset>5120640</wp:posOffset>
                </wp:positionH>
                <wp:positionV relativeFrom="paragraph">
                  <wp:posOffset>1730375</wp:posOffset>
                </wp:positionV>
                <wp:extent cx="1074420" cy="1958340"/>
                <wp:effectExtent l="0" t="0" r="11430" b="2286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1958340"/>
                        </a:xfrm>
                        <a:prstGeom prst="rect">
                          <a:avLst/>
                        </a:prstGeom>
                        <a:solidFill>
                          <a:srgbClr val="FFFFFF"/>
                        </a:solidFill>
                        <a:ln w="9525">
                          <a:solidFill>
                            <a:srgbClr val="000000"/>
                          </a:solidFill>
                          <a:miter lim="800000"/>
                          <a:headEnd/>
                          <a:tailEnd/>
                        </a:ln>
                      </wps:spPr>
                      <wps:txbx>
                        <w:txbxContent>
                          <w:p w14:paraId="0384C3C3" w14:textId="77777777" w:rsidR="00A30313" w:rsidRPr="00140CE9" w:rsidRDefault="00A30313" w:rsidP="00A30313">
                            <w:pPr>
                              <w:rPr>
                                <w:sz w:val="18"/>
                                <w:szCs w:val="18"/>
                              </w:rPr>
                            </w:pPr>
                            <w:r w:rsidRPr="00140CE9">
                              <w:rPr>
                                <w:sz w:val="18"/>
                                <w:szCs w:val="18"/>
                              </w:rPr>
                              <w:t>Npr. Preporuke CEDAW komiteta, Gender akcioni plan, Strategije u oblasti nasilja itd.</w:t>
                            </w:r>
                          </w:p>
                          <w:p w14:paraId="1756CB69" w14:textId="77777777" w:rsidR="00A30313" w:rsidRPr="00140CE9" w:rsidRDefault="00A30313" w:rsidP="00A30313">
                            <w:pPr>
                              <w:rPr>
                                <w:sz w:val="18"/>
                                <w:szCs w:val="18"/>
                              </w:rPr>
                            </w:pPr>
                            <w:r w:rsidRPr="00140CE9">
                              <w:rPr>
                                <w:sz w:val="18"/>
                                <w:szCs w:val="18"/>
                              </w:rPr>
                              <w:t>Analize organizacija civilnog društva, akademske zajednice, međunarodnih organizacija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509240E" id="_x0000_t202" coordsize="21600,21600" o:spt="202" path="m,l,21600r21600,l21600,xe">
                <v:stroke joinstyle="miter"/>
                <v:path gradientshapeok="t" o:connecttype="rect"/>
              </v:shapetype>
              <v:shape id="Text Box 2" o:spid="_x0000_s1026" type="#_x0000_t202" style="position:absolute;left:0;text-align:left;margin-left:403.2pt;margin-top:136.25pt;width:84.6pt;height:154.2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">
                <v:textbox>
                  <w:txbxContent>
                    <w:p w14:paraId="0384C3C3" w14:textId="77777777" w:rsidR="00A30313" w:rsidRPr="00140CE9" w:rsidRDefault="00A30313" w:rsidP="00A30313">
                      <w:pPr>
                        <w:rPr>
                          <w:sz w:val="18"/>
                          <w:szCs w:val="18"/>
                        </w:rPr>
                      </w:pPr>
                      <w:r w:rsidRPr="00140CE9">
                        <w:rPr>
                          <w:sz w:val="18"/>
                          <w:szCs w:val="18"/>
                        </w:rPr>
                        <w:t>Npr. Preporuke CEDAW komiteta, Gender akcioni plan, Strategije u oblasti nasilja itd.</w:t>
                      </w:r>
                    </w:p>
                    <w:p w14:paraId="1756CB69" w14:textId="77777777" w:rsidR="00A30313" w:rsidRPr="00140CE9" w:rsidRDefault="00A30313" w:rsidP="00A30313">
                      <w:pPr>
                        <w:rPr>
                          <w:sz w:val="18"/>
                          <w:szCs w:val="18"/>
                        </w:rPr>
                      </w:pPr>
                      <w:r w:rsidRPr="00140CE9">
                        <w:rPr>
                          <w:sz w:val="18"/>
                          <w:szCs w:val="18"/>
                        </w:rPr>
                        <w:t>Analize organizacija civilnog društva, akademske zajednice, međunarodnih organizacija</w:t>
                      </w:r>
                    </w:p>
                  </w:txbxContent>
                </v:textbox>
              </v:shape>
            </w:pict>
          </mc:Fallback>
        </mc:AlternateContent>
      </w:r>
      <w:r w:rsidRPr="000C5CA4">
        <w:rPr>
          <w:noProof/>
          <w:sz w:val="22"/>
          <w:szCs w:val="20"/>
          <w:lang w:eastAsia="bs-Latn-BA"/>
        </w:rPr>
        <mc:AlternateContent>
          <mc:Choice Requires="wps">
            <w:drawing>
              <wp:anchor distT="0" distB="0" distL="114300" distR="114300" simplePos="0" relativeHeight="251671552" behindDoc="1" locked="0" layoutInCell="1" allowOverlap="0" wp14:anchorId="320A404C" wp14:editId="592492A9">
                <wp:simplePos x="0" y="0"/>
                <wp:positionH relativeFrom="margin">
                  <wp:posOffset>2192020</wp:posOffset>
                </wp:positionH>
                <wp:positionV relativeFrom="paragraph">
                  <wp:posOffset>1126278</wp:posOffset>
                </wp:positionV>
                <wp:extent cx="1202267" cy="1574800"/>
                <wp:effectExtent l="57150" t="57150" r="0" b="63500"/>
                <wp:wrapNone/>
                <wp:docPr id="39" name="Arrow: Dow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267" cy="1574800"/>
                        </a:xfrm>
                        <a:prstGeom prst="downArrow">
                          <a:avLst/>
                        </a:prstGeom>
                        <a:gradFill>
                          <a:gsLst>
                            <a:gs pos="0">
                              <a:srgbClr val="D5D002"/>
                            </a:gs>
                            <a:gs pos="48000">
                              <a:srgbClr val="FAEB26"/>
                            </a:gs>
                            <a:gs pos="100000">
                              <a:srgbClr val="FAEB26"/>
                            </a:gs>
                          </a:gsLst>
                          <a:lin ang="16200000" scaled="1"/>
                        </a:gradFill>
                        <a:ln w="9525">
                          <a:solidFill>
                            <a:schemeClr val="tx1"/>
                          </a:solidFill>
                        </a:ln>
                        <a:effectLst/>
                        <a:scene3d>
                          <a:camera prst="orthographicFront">
                            <a:rot lat="0" lon="0" rev="0"/>
                          </a:camera>
                          <a:lightRig rig="contrasting" dir="t">
                            <a:rot lat="0" lon="0" rev="7800000"/>
                          </a:lightRig>
                        </a:scene3d>
                        <a:sp3d>
                          <a:bevelT w="139700" h="139700"/>
                        </a:sp3d>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54F8D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 o:spid="_x0000_s1026" type="#_x0000_t67" style="position:absolute;margin-left:172.6pt;margin-top:88.7pt;width:94.65pt;height:12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" o:allowoverlap="f" adj="13355" fillcolor="#d5d002" strokecolor="black [3213]">
                <v:fill color2="#faeb26" angle="180" colors="0 #d5d002;31457f #faeb26;1 #faeb26" focus="100%" type="gradient"/>
                <v:path arrowok="t"/>
                <w10:wrap anchorx="margin"/>
              </v:shape>
            </w:pict>
          </mc:Fallback>
        </mc:AlternateContent>
      </w:r>
      <w:r w:rsidRPr="000C5CA4">
        <w:rPr>
          <w:noProof/>
          <w:sz w:val="22"/>
          <w:szCs w:val="20"/>
          <w:lang w:eastAsia="bs-Latn-BA"/>
        </w:rPr>
        <w:drawing>
          <wp:inline distT="0" distB="0" distL="0" distR="0" wp14:anchorId="2307E756" wp14:editId="7C676941">
            <wp:extent cx="5543550" cy="1930400"/>
            <wp:effectExtent l="76200" t="0" r="13335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0D3D168D" w14:textId="77777777" w:rsidR="00A30313" w:rsidRPr="000C5CA4" w:rsidRDefault="00A30313" w:rsidP="00A30313">
      <w:pPr>
        <w:pStyle w:val="BodyText"/>
        <w:rPr>
          <w:sz w:val="22"/>
          <w:szCs w:val="20"/>
        </w:rPr>
      </w:pPr>
    </w:p>
    <w:p w14:paraId="7B96E6C7" w14:textId="77777777" w:rsidR="00A30313" w:rsidRPr="000C5CA4" w:rsidRDefault="00A30313" w:rsidP="00A30313">
      <w:pPr>
        <w:pStyle w:val="BodyText"/>
        <w:rPr>
          <w:sz w:val="22"/>
          <w:szCs w:val="20"/>
        </w:rPr>
      </w:pPr>
    </w:p>
    <w:p w14:paraId="67204C0A" w14:textId="77777777" w:rsidR="00A30313" w:rsidRPr="000C5CA4" w:rsidRDefault="00A30313" w:rsidP="00A30313">
      <w:pPr>
        <w:pStyle w:val="BodyText"/>
        <w:rPr>
          <w:sz w:val="22"/>
          <w:szCs w:val="20"/>
        </w:rPr>
      </w:pPr>
    </w:p>
    <w:p w14:paraId="5D11FD43" w14:textId="77777777" w:rsidR="00A30313" w:rsidRPr="000C5CA4" w:rsidRDefault="00A30313" w:rsidP="00A30313">
      <w:pPr>
        <w:pStyle w:val="BodyText"/>
        <w:rPr>
          <w:sz w:val="22"/>
          <w:szCs w:val="20"/>
        </w:rPr>
      </w:pPr>
    </w:p>
    <w:p w14:paraId="162DE72F" w14:textId="77777777" w:rsidR="00A30313" w:rsidRPr="000C5CA4" w:rsidRDefault="00A30313" w:rsidP="00A30313">
      <w:pPr>
        <w:pStyle w:val="BodyText"/>
        <w:rPr>
          <w:sz w:val="22"/>
          <w:szCs w:val="20"/>
        </w:rPr>
      </w:pPr>
      <w:r w:rsidRPr="000C5CA4">
        <w:rPr>
          <w:noProof/>
          <w:sz w:val="22"/>
          <w:szCs w:val="20"/>
          <w:lang w:eastAsia="bs-Latn-BA"/>
        </w:rPr>
        <w:drawing>
          <wp:inline distT="0" distB="0" distL="0" distR="0" wp14:anchorId="72E11A33" wp14:editId="7432C577">
            <wp:extent cx="5022850" cy="723900"/>
            <wp:effectExtent l="0" t="57150" r="101600" b="11430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7A0AA281" w14:textId="77777777" w:rsidR="00A30313" w:rsidRPr="000C5CA4" w:rsidRDefault="00A30313" w:rsidP="00A30313">
      <w:pPr>
        <w:rPr>
          <w:sz w:val="22"/>
          <w:szCs w:val="20"/>
        </w:rPr>
      </w:pPr>
    </w:p>
    <w:p w14:paraId="3D563E97" w14:textId="261E7565" w:rsidR="000C5CA4" w:rsidRDefault="000C5CA4">
      <w:pPr>
        <w:tabs>
          <w:tab w:val="clear" w:pos="5103"/>
        </w:tabs>
        <w:spacing w:line="240" w:lineRule="auto"/>
        <w:ind w:right="0"/>
        <w:jc w:val="left"/>
        <w:rPr>
          <w:sz w:val="22"/>
          <w:szCs w:val="20"/>
        </w:rPr>
      </w:pPr>
      <w:r>
        <w:rPr>
          <w:sz w:val="22"/>
          <w:szCs w:val="20"/>
        </w:rPr>
        <w:br w:type="page"/>
      </w:r>
    </w:p>
    <w:p w14:paraId="798A7510" w14:textId="77777777" w:rsidR="00ED28FE" w:rsidRPr="000C5CA4" w:rsidRDefault="00ED28FE" w:rsidP="00672AC4">
      <w:pPr>
        <w:spacing w:line="276" w:lineRule="auto"/>
        <w:rPr>
          <w:sz w:val="22"/>
          <w:szCs w:val="20"/>
        </w:rPr>
      </w:pPr>
    </w:p>
    <w:p w14:paraId="30ABEABE" w14:textId="77777777" w:rsidR="00ED28FE" w:rsidRPr="000C5CA4" w:rsidRDefault="00ED28FE" w:rsidP="00672AC4">
      <w:pPr>
        <w:pStyle w:val="Heading1"/>
        <w:rPr>
          <w:sz w:val="22"/>
          <w:szCs w:val="22"/>
        </w:rPr>
      </w:pPr>
      <w:bookmarkStart w:id="62" w:name="_Toc73392282"/>
      <w:bookmarkStart w:id="63" w:name="_Toc74118446"/>
      <w:bookmarkStart w:id="64" w:name="_Toc79420473"/>
      <w:bookmarkStart w:id="65" w:name="_Toc200303214"/>
      <w:r w:rsidRPr="000C5CA4">
        <w:rPr>
          <w:sz w:val="22"/>
          <w:szCs w:val="22"/>
        </w:rPr>
        <w:t>Osnovni pojmovi i definicije ravnopravnosti spolova</w:t>
      </w:r>
      <w:bookmarkEnd w:id="62"/>
      <w:bookmarkEnd w:id="63"/>
      <w:bookmarkEnd w:id="64"/>
      <w:bookmarkEnd w:id="65"/>
      <w:r w:rsidRPr="000C5CA4">
        <w:rPr>
          <w:sz w:val="22"/>
          <w:szCs w:val="22"/>
        </w:rPr>
        <w:t xml:space="preserve"> </w:t>
      </w:r>
    </w:p>
    <w:p w14:paraId="4E59443A" w14:textId="77777777" w:rsidR="00ED28FE" w:rsidRPr="000C5CA4" w:rsidRDefault="00ED28FE" w:rsidP="00672AC4">
      <w:pPr>
        <w:pStyle w:val="BodyText"/>
        <w:rPr>
          <w:sz w:val="22"/>
          <w:szCs w:val="20"/>
        </w:rPr>
      </w:pPr>
    </w:p>
    <w:p w14:paraId="519B50AB" w14:textId="77777777" w:rsidR="00ED28FE" w:rsidRPr="000C5CA4" w:rsidRDefault="00ED28FE" w:rsidP="00672AC4">
      <w:pPr>
        <w:spacing w:line="276" w:lineRule="auto"/>
        <w:rPr>
          <w:sz w:val="22"/>
          <w:szCs w:val="20"/>
        </w:rPr>
      </w:pPr>
      <w:r w:rsidRPr="000C5CA4">
        <w:rPr>
          <w:b/>
          <w:sz w:val="22"/>
          <w:szCs w:val="20"/>
        </w:rPr>
        <w:t xml:space="preserve">Diskriminacija </w:t>
      </w:r>
      <w:r w:rsidRPr="000C5CA4">
        <w:rPr>
          <w:sz w:val="22"/>
          <w:szCs w:val="20"/>
        </w:rPr>
        <w:t>po osnovu spola je svako stavljanje u nepovoljniji položaj bilo koje</w:t>
      </w:r>
      <w:r w:rsidRPr="000C5CA4">
        <w:rPr>
          <w:spacing w:val="-40"/>
          <w:sz w:val="22"/>
          <w:szCs w:val="20"/>
        </w:rPr>
        <w:t xml:space="preserve"> </w:t>
      </w:r>
      <w:r w:rsidRPr="000C5CA4">
        <w:rPr>
          <w:sz w:val="22"/>
          <w:szCs w:val="20"/>
        </w:rPr>
        <w:t>osobe ili</w:t>
      </w:r>
      <w:r w:rsidRPr="000C5CA4">
        <w:rPr>
          <w:spacing w:val="-14"/>
          <w:sz w:val="22"/>
          <w:szCs w:val="20"/>
        </w:rPr>
        <w:t xml:space="preserve"> </w:t>
      </w:r>
      <w:r w:rsidRPr="000C5CA4">
        <w:rPr>
          <w:sz w:val="22"/>
          <w:szCs w:val="20"/>
        </w:rPr>
        <w:t>grupe</w:t>
      </w:r>
      <w:r w:rsidRPr="000C5CA4">
        <w:rPr>
          <w:spacing w:val="-16"/>
          <w:sz w:val="22"/>
          <w:szCs w:val="20"/>
        </w:rPr>
        <w:t xml:space="preserve"> </w:t>
      </w:r>
      <w:r w:rsidRPr="000C5CA4">
        <w:rPr>
          <w:sz w:val="22"/>
          <w:szCs w:val="20"/>
        </w:rPr>
        <w:t>osoba</w:t>
      </w:r>
      <w:r w:rsidRPr="000C5CA4">
        <w:rPr>
          <w:spacing w:val="-13"/>
          <w:sz w:val="22"/>
          <w:szCs w:val="20"/>
        </w:rPr>
        <w:t xml:space="preserve"> </w:t>
      </w:r>
      <w:r w:rsidRPr="000C5CA4">
        <w:rPr>
          <w:sz w:val="22"/>
          <w:szCs w:val="20"/>
        </w:rPr>
        <w:t>zasnovano</w:t>
      </w:r>
      <w:r w:rsidRPr="000C5CA4">
        <w:rPr>
          <w:spacing w:val="-16"/>
          <w:sz w:val="22"/>
          <w:szCs w:val="20"/>
        </w:rPr>
        <w:t xml:space="preserve"> </w:t>
      </w:r>
      <w:r w:rsidRPr="000C5CA4">
        <w:rPr>
          <w:sz w:val="22"/>
          <w:szCs w:val="20"/>
        </w:rPr>
        <w:t>na</w:t>
      </w:r>
      <w:r w:rsidRPr="000C5CA4">
        <w:rPr>
          <w:spacing w:val="-14"/>
          <w:sz w:val="22"/>
          <w:szCs w:val="20"/>
        </w:rPr>
        <w:t xml:space="preserve"> </w:t>
      </w:r>
      <w:r w:rsidRPr="000C5CA4">
        <w:rPr>
          <w:sz w:val="22"/>
          <w:szCs w:val="20"/>
        </w:rPr>
        <w:t>spolu</w:t>
      </w:r>
      <w:r w:rsidRPr="000C5CA4">
        <w:rPr>
          <w:spacing w:val="-14"/>
          <w:sz w:val="22"/>
          <w:szCs w:val="20"/>
        </w:rPr>
        <w:t xml:space="preserve"> </w:t>
      </w:r>
      <w:r w:rsidRPr="000C5CA4">
        <w:rPr>
          <w:sz w:val="22"/>
          <w:szCs w:val="20"/>
        </w:rPr>
        <w:t>zbog</w:t>
      </w:r>
      <w:r w:rsidRPr="000C5CA4">
        <w:rPr>
          <w:spacing w:val="-12"/>
          <w:sz w:val="22"/>
          <w:szCs w:val="20"/>
        </w:rPr>
        <w:t xml:space="preserve"> </w:t>
      </w:r>
      <w:r w:rsidRPr="000C5CA4">
        <w:rPr>
          <w:sz w:val="22"/>
          <w:szCs w:val="20"/>
        </w:rPr>
        <w:t>kojeg</w:t>
      </w:r>
      <w:r w:rsidRPr="000C5CA4">
        <w:rPr>
          <w:spacing w:val="-13"/>
          <w:sz w:val="22"/>
          <w:szCs w:val="20"/>
        </w:rPr>
        <w:t xml:space="preserve"> </w:t>
      </w:r>
      <w:r w:rsidRPr="000C5CA4">
        <w:rPr>
          <w:sz w:val="22"/>
          <w:szCs w:val="20"/>
        </w:rPr>
        <w:t>se</w:t>
      </w:r>
      <w:r w:rsidRPr="000C5CA4">
        <w:rPr>
          <w:spacing w:val="-15"/>
          <w:sz w:val="22"/>
          <w:szCs w:val="20"/>
        </w:rPr>
        <w:t xml:space="preserve"> </w:t>
      </w:r>
      <w:r w:rsidRPr="000C5CA4">
        <w:rPr>
          <w:sz w:val="22"/>
          <w:szCs w:val="20"/>
        </w:rPr>
        <w:t>osobama</w:t>
      </w:r>
      <w:r w:rsidRPr="000C5CA4">
        <w:rPr>
          <w:spacing w:val="-13"/>
          <w:sz w:val="22"/>
          <w:szCs w:val="20"/>
        </w:rPr>
        <w:t xml:space="preserve"> </w:t>
      </w:r>
      <w:r w:rsidRPr="000C5CA4">
        <w:rPr>
          <w:sz w:val="22"/>
          <w:szCs w:val="20"/>
        </w:rPr>
        <w:t>ili</w:t>
      </w:r>
      <w:r w:rsidRPr="000C5CA4">
        <w:rPr>
          <w:spacing w:val="-14"/>
          <w:sz w:val="22"/>
          <w:szCs w:val="20"/>
        </w:rPr>
        <w:t xml:space="preserve"> </w:t>
      </w:r>
      <w:r w:rsidRPr="000C5CA4">
        <w:rPr>
          <w:sz w:val="22"/>
          <w:szCs w:val="20"/>
        </w:rPr>
        <w:t>grupi</w:t>
      </w:r>
      <w:r w:rsidRPr="000C5CA4">
        <w:rPr>
          <w:spacing w:val="-13"/>
          <w:sz w:val="22"/>
          <w:szCs w:val="20"/>
        </w:rPr>
        <w:t xml:space="preserve"> </w:t>
      </w:r>
      <w:r w:rsidRPr="000C5CA4">
        <w:rPr>
          <w:sz w:val="22"/>
          <w:szCs w:val="20"/>
        </w:rPr>
        <w:t>osoba</w:t>
      </w:r>
      <w:r w:rsidRPr="000C5CA4">
        <w:rPr>
          <w:spacing w:val="-13"/>
          <w:sz w:val="22"/>
          <w:szCs w:val="20"/>
        </w:rPr>
        <w:t xml:space="preserve"> </w:t>
      </w:r>
      <w:r w:rsidRPr="000C5CA4">
        <w:rPr>
          <w:sz w:val="22"/>
          <w:szCs w:val="20"/>
        </w:rPr>
        <w:t>otežava</w:t>
      </w:r>
      <w:r w:rsidRPr="000C5CA4">
        <w:rPr>
          <w:spacing w:val="-15"/>
          <w:sz w:val="22"/>
          <w:szCs w:val="20"/>
        </w:rPr>
        <w:t xml:space="preserve"> </w:t>
      </w:r>
      <w:r w:rsidRPr="000C5CA4">
        <w:rPr>
          <w:sz w:val="22"/>
          <w:szCs w:val="20"/>
        </w:rPr>
        <w:t>ili</w:t>
      </w:r>
      <w:r w:rsidRPr="000C5CA4">
        <w:rPr>
          <w:spacing w:val="-14"/>
          <w:sz w:val="22"/>
          <w:szCs w:val="20"/>
        </w:rPr>
        <w:t xml:space="preserve"> </w:t>
      </w:r>
      <w:r w:rsidRPr="000C5CA4">
        <w:rPr>
          <w:sz w:val="22"/>
          <w:szCs w:val="20"/>
        </w:rPr>
        <w:t>negira priznavanje, uživanje ili ostvarivanje ljudskih prava ili</w:t>
      </w:r>
      <w:r w:rsidRPr="000C5CA4">
        <w:rPr>
          <w:spacing w:val="-9"/>
          <w:sz w:val="22"/>
          <w:szCs w:val="20"/>
        </w:rPr>
        <w:t xml:space="preserve"> </w:t>
      </w:r>
      <w:r w:rsidRPr="000C5CA4">
        <w:rPr>
          <w:sz w:val="22"/>
          <w:szCs w:val="20"/>
        </w:rPr>
        <w:t>sloboda.</w:t>
      </w:r>
    </w:p>
    <w:p w14:paraId="4E7283AA" w14:textId="77777777" w:rsidR="00ED28FE" w:rsidRPr="000C5CA4" w:rsidRDefault="00ED28FE" w:rsidP="00672AC4">
      <w:pPr>
        <w:spacing w:line="276" w:lineRule="auto"/>
        <w:rPr>
          <w:sz w:val="22"/>
          <w:szCs w:val="20"/>
        </w:rPr>
      </w:pPr>
    </w:p>
    <w:p w14:paraId="1A31FEE8" w14:textId="77777777" w:rsidR="00ED28FE" w:rsidRPr="000C5CA4" w:rsidRDefault="00ED28FE" w:rsidP="00672AC4">
      <w:pPr>
        <w:spacing w:line="276" w:lineRule="auto"/>
        <w:rPr>
          <w:sz w:val="22"/>
          <w:szCs w:val="20"/>
        </w:rPr>
      </w:pPr>
      <w:r w:rsidRPr="000C5CA4">
        <w:rPr>
          <w:b/>
          <w:sz w:val="22"/>
          <w:szCs w:val="20"/>
        </w:rPr>
        <w:t xml:space="preserve">Direktna diskriminacija </w:t>
      </w:r>
      <w:r w:rsidRPr="000C5CA4">
        <w:rPr>
          <w:sz w:val="22"/>
          <w:szCs w:val="20"/>
        </w:rPr>
        <w:t>po osnovu spola postoji kada je osoba ili grupa osoba bila tretirana, tretira se ili može biti tretirana nepovoljnije u odnosu na drugu osobu ili grupu osoba u istoj ili sličnoj situaciji.</w:t>
      </w:r>
    </w:p>
    <w:p w14:paraId="0B0CBE36" w14:textId="77777777" w:rsidR="00ED28FE" w:rsidRPr="000C5CA4" w:rsidRDefault="00ED28FE" w:rsidP="00672AC4">
      <w:pPr>
        <w:spacing w:line="276" w:lineRule="auto"/>
        <w:rPr>
          <w:sz w:val="22"/>
          <w:szCs w:val="20"/>
        </w:rPr>
      </w:pPr>
    </w:p>
    <w:p w14:paraId="02E9CC60" w14:textId="77777777" w:rsidR="00ED28FE" w:rsidRPr="000C5CA4" w:rsidRDefault="00ED28FE" w:rsidP="00672AC4">
      <w:pPr>
        <w:spacing w:line="276" w:lineRule="auto"/>
        <w:rPr>
          <w:sz w:val="22"/>
          <w:szCs w:val="20"/>
        </w:rPr>
      </w:pPr>
      <w:r w:rsidRPr="000C5CA4">
        <w:rPr>
          <w:b/>
          <w:sz w:val="22"/>
          <w:szCs w:val="20"/>
        </w:rPr>
        <w:t xml:space="preserve">Indirektna diskriminacija </w:t>
      </w:r>
      <w:r w:rsidRPr="000C5CA4">
        <w:rPr>
          <w:sz w:val="22"/>
          <w:szCs w:val="20"/>
        </w:rPr>
        <w:t>po osnovu spola postoji kada prividno neutralna pravna norma, kriterij ili praksa jednaka za sve je dovodila, dovodi ili bi mogla dovesti u nepovoljniji položaj osobu ili grupu osoba jednog spola u poređenju sa osobom ili grupom osoba drugog spola.</w:t>
      </w:r>
    </w:p>
    <w:p w14:paraId="5E523F89" w14:textId="77777777" w:rsidR="00ED28FE" w:rsidRPr="000C5CA4" w:rsidRDefault="00ED28FE" w:rsidP="00672AC4">
      <w:pPr>
        <w:spacing w:line="276" w:lineRule="auto"/>
        <w:rPr>
          <w:sz w:val="22"/>
          <w:szCs w:val="20"/>
        </w:rPr>
      </w:pPr>
    </w:p>
    <w:p w14:paraId="145C619C" w14:textId="77777777" w:rsidR="00ED28FE" w:rsidRPr="000C5CA4" w:rsidRDefault="00ED28FE" w:rsidP="00672AC4">
      <w:pPr>
        <w:spacing w:line="276" w:lineRule="auto"/>
        <w:rPr>
          <w:sz w:val="22"/>
          <w:szCs w:val="20"/>
        </w:rPr>
      </w:pPr>
      <w:r w:rsidRPr="000C5CA4">
        <w:rPr>
          <w:b/>
          <w:sz w:val="22"/>
          <w:szCs w:val="20"/>
        </w:rPr>
        <w:t xml:space="preserve">Uznemiravanje </w:t>
      </w:r>
      <w:r w:rsidRPr="000C5CA4">
        <w:rPr>
          <w:sz w:val="22"/>
          <w:szCs w:val="20"/>
        </w:rPr>
        <w:t>je svako neželjeno ponašanje po osnovu spola kojim se želi povrijediti dostojanstvo osobe ili grupe osoba i stvoriti zastrašujuće, neprijateljsko, degradirajuće, ponižavajuće ili uvredljivo okruženje, ili kojim se postiže takav učinak.</w:t>
      </w:r>
    </w:p>
    <w:p w14:paraId="37196B4C" w14:textId="77777777" w:rsidR="00ED28FE" w:rsidRPr="000C5CA4" w:rsidRDefault="00ED28FE" w:rsidP="00672AC4">
      <w:pPr>
        <w:spacing w:line="276" w:lineRule="auto"/>
        <w:rPr>
          <w:sz w:val="22"/>
          <w:szCs w:val="20"/>
        </w:rPr>
      </w:pPr>
    </w:p>
    <w:p w14:paraId="65362357" w14:textId="77777777" w:rsidR="00ED28FE" w:rsidRPr="000C5CA4" w:rsidRDefault="00ED28FE" w:rsidP="00672AC4">
      <w:pPr>
        <w:spacing w:line="276" w:lineRule="auto"/>
        <w:rPr>
          <w:sz w:val="22"/>
          <w:szCs w:val="20"/>
        </w:rPr>
      </w:pPr>
      <w:r w:rsidRPr="000C5CA4">
        <w:rPr>
          <w:b/>
          <w:sz w:val="22"/>
          <w:szCs w:val="20"/>
        </w:rPr>
        <w:t xml:space="preserve">Seksualno uznemiravanje </w:t>
      </w:r>
      <w:r w:rsidRPr="000C5CA4">
        <w:rPr>
          <w:sz w:val="22"/>
          <w:szCs w:val="20"/>
        </w:rPr>
        <w:t>je svaki neželjeni oblik verbalnog, neverbalnog ili fizičkog ponašanja spolne prirode kojim se želi povrijediti dostojanstvo osobe ili grupe osoba, ili kojim se postiže takav učinak, naročito kad to ponašanje stvara zastrašujuće, neprijateljsko, degradirajuće, ponižavajuće ili uvredljivo okruženje.</w:t>
      </w:r>
    </w:p>
    <w:p w14:paraId="68F6AD8D" w14:textId="77777777" w:rsidR="00ED28FE" w:rsidRPr="000C5CA4" w:rsidRDefault="00ED28FE" w:rsidP="00672AC4">
      <w:pPr>
        <w:spacing w:line="276" w:lineRule="auto"/>
        <w:rPr>
          <w:sz w:val="22"/>
          <w:szCs w:val="20"/>
        </w:rPr>
      </w:pPr>
    </w:p>
    <w:p w14:paraId="5A6CD81B" w14:textId="77777777" w:rsidR="00ED28FE" w:rsidRPr="000C5CA4" w:rsidRDefault="00ED28FE" w:rsidP="00672AC4">
      <w:pPr>
        <w:spacing w:line="276" w:lineRule="auto"/>
        <w:rPr>
          <w:sz w:val="22"/>
          <w:szCs w:val="20"/>
        </w:rPr>
      </w:pPr>
      <w:r w:rsidRPr="000C5CA4">
        <w:rPr>
          <w:b/>
          <w:sz w:val="22"/>
          <w:szCs w:val="20"/>
        </w:rPr>
        <w:t>Nasilje</w:t>
      </w:r>
      <w:r w:rsidRPr="000C5CA4">
        <w:rPr>
          <w:b/>
          <w:spacing w:val="-14"/>
          <w:sz w:val="22"/>
          <w:szCs w:val="20"/>
        </w:rPr>
        <w:t xml:space="preserve"> </w:t>
      </w:r>
      <w:r w:rsidRPr="000C5CA4">
        <w:rPr>
          <w:b/>
          <w:sz w:val="22"/>
          <w:szCs w:val="20"/>
        </w:rPr>
        <w:t>po</w:t>
      </w:r>
      <w:r w:rsidRPr="000C5CA4">
        <w:rPr>
          <w:b/>
          <w:spacing w:val="-11"/>
          <w:sz w:val="22"/>
          <w:szCs w:val="20"/>
        </w:rPr>
        <w:t xml:space="preserve"> </w:t>
      </w:r>
      <w:r w:rsidRPr="000C5CA4">
        <w:rPr>
          <w:b/>
          <w:sz w:val="22"/>
          <w:szCs w:val="20"/>
        </w:rPr>
        <w:t>osnovu</w:t>
      </w:r>
      <w:r w:rsidRPr="000C5CA4">
        <w:rPr>
          <w:b/>
          <w:spacing w:val="-14"/>
          <w:sz w:val="22"/>
          <w:szCs w:val="20"/>
        </w:rPr>
        <w:t xml:space="preserve"> </w:t>
      </w:r>
      <w:r w:rsidRPr="000C5CA4">
        <w:rPr>
          <w:b/>
          <w:sz w:val="22"/>
          <w:szCs w:val="20"/>
        </w:rPr>
        <w:t>spola</w:t>
      </w:r>
      <w:r w:rsidRPr="000C5CA4">
        <w:rPr>
          <w:b/>
          <w:spacing w:val="-9"/>
          <w:sz w:val="22"/>
          <w:szCs w:val="20"/>
        </w:rPr>
        <w:t xml:space="preserve"> </w:t>
      </w:r>
      <w:r w:rsidRPr="000C5CA4">
        <w:rPr>
          <w:sz w:val="22"/>
          <w:szCs w:val="20"/>
        </w:rPr>
        <w:t>je</w:t>
      </w:r>
      <w:r w:rsidRPr="000C5CA4">
        <w:rPr>
          <w:spacing w:val="-14"/>
          <w:sz w:val="22"/>
          <w:szCs w:val="20"/>
        </w:rPr>
        <w:t xml:space="preserve"> </w:t>
      </w:r>
      <w:r w:rsidRPr="000C5CA4">
        <w:rPr>
          <w:sz w:val="22"/>
          <w:szCs w:val="20"/>
        </w:rPr>
        <w:t>svako</w:t>
      </w:r>
      <w:r w:rsidRPr="000C5CA4">
        <w:rPr>
          <w:spacing w:val="-13"/>
          <w:sz w:val="22"/>
          <w:szCs w:val="20"/>
        </w:rPr>
        <w:t xml:space="preserve"> </w:t>
      </w:r>
      <w:r w:rsidRPr="000C5CA4">
        <w:rPr>
          <w:sz w:val="22"/>
          <w:szCs w:val="20"/>
        </w:rPr>
        <w:t>djelovanje</w:t>
      </w:r>
      <w:r w:rsidRPr="000C5CA4">
        <w:rPr>
          <w:spacing w:val="-14"/>
          <w:sz w:val="22"/>
          <w:szCs w:val="20"/>
        </w:rPr>
        <w:t xml:space="preserve"> </w:t>
      </w:r>
      <w:r w:rsidRPr="000C5CA4">
        <w:rPr>
          <w:sz w:val="22"/>
          <w:szCs w:val="20"/>
        </w:rPr>
        <w:t>kojim</w:t>
      </w:r>
      <w:r w:rsidRPr="000C5CA4">
        <w:rPr>
          <w:spacing w:val="-12"/>
          <w:sz w:val="22"/>
          <w:szCs w:val="20"/>
        </w:rPr>
        <w:t xml:space="preserve"> </w:t>
      </w:r>
      <w:r w:rsidRPr="000C5CA4">
        <w:rPr>
          <w:sz w:val="22"/>
          <w:szCs w:val="20"/>
        </w:rPr>
        <w:t>se</w:t>
      </w:r>
      <w:r w:rsidRPr="000C5CA4">
        <w:rPr>
          <w:spacing w:val="-15"/>
          <w:sz w:val="22"/>
          <w:szCs w:val="20"/>
        </w:rPr>
        <w:t xml:space="preserve"> </w:t>
      </w:r>
      <w:r w:rsidRPr="000C5CA4">
        <w:rPr>
          <w:sz w:val="22"/>
          <w:szCs w:val="20"/>
        </w:rPr>
        <w:t>nanosi</w:t>
      </w:r>
      <w:r w:rsidRPr="000C5CA4">
        <w:rPr>
          <w:spacing w:val="-11"/>
          <w:sz w:val="22"/>
          <w:szCs w:val="20"/>
        </w:rPr>
        <w:t xml:space="preserve"> </w:t>
      </w:r>
      <w:r w:rsidRPr="000C5CA4">
        <w:rPr>
          <w:sz w:val="22"/>
          <w:szCs w:val="20"/>
        </w:rPr>
        <w:t>ili</w:t>
      </w:r>
      <w:r w:rsidRPr="000C5CA4">
        <w:rPr>
          <w:spacing w:val="-12"/>
          <w:sz w:val="22"/>
          <w:szCs w:val="20"/>
        </w:rPr>
        <w:t xml:space="preserve"> </w:t>
      </w:r>
      <w:r w:rsidRPr="000C5CA4">
        <w:rPr>
          <w:sz w:val="22"/>
          <w:szCs w:val="20"/>
        </w:rPr>
        <w:t>može</w:t>
      </w:r>
      <w:r w:rsidRPr="000C5CA4">
        <w:rPr>
          <w:spacing w:val="-14"/>
          <w:sz w:val="22"/>
          <w:szCs w:val="20"/>
        </w:rPr>
        <w:t xml:space="preserve"> </w:t>
      </w:r>
      <w:r w:rsidRPr="000C5CA4">
        <w:rPr>
          <w:sz w:val="22"/>
          <w:szCs w:val="20"/>
        </w:rPr>
        <w:t>biti</w:t>
      </w:r>
      <w:r w:rsidRPr="000C5CA4">
        <w:rPr>
          <w:spacing w:val="-13"/>
          <w:sz w:val="22"/>
          <w:szCs w:val="20"/>
        </w:rPr>
        <w:t xml:space="preserve"> </w:t>
      </w:r>
      <w:r w:rsidRPr="000C5CA4">
        <w:rPr>
          <w:sz w:val="22"/>
          <w:szCs w:val="20"/>
        </w:rPr>
        <w:t>nanijeta</w:t>
      </w:r>
      <w:r w:rsidRPr="000C5CA4">
        <w:rPr>
          <w:spacing w:val="-5"/>
          <w:sz w:val="22"/>
          <w:szCs w:val="20"/>
        </w:rPr>
        <w:t xml:space="preserve"> </w:t>
      </w:r>
      <w:r w:rsidRPr="000C5CA4">
        <w:rPr>
          <w:sz w:val="22"/>
          <w:szCs w:val="20"/>
        </w:rPr>
        <w:t>fizička, psihička, seksualna ili ekonomska šteta ili patnja, kao i prijetnja takvim djelovanjem koje sputava osobu ili grupu osoba da uživa u svojim ljudskim pravima i slobodama u javnoj i privatnoj sferi</w:t>
      </w:r>
      <w:r w:rsidRPr="000C5CA4">
        <w:rPr>
          <w:spacing w:val="1"/>
          <w:sz w:val="22"/>
          <w:szCs w:val="20"/>
        </w:rPr>
        <w:t xml:space="preserve"> </w:t>
      </w:r>
      <w:r w:rsidRPr="000C5CA4">
        <w:rPr>
          <w:sz w:val="22"/>
          <w:szCs w:val="20"/>
        </w:rPr>
        <w:t>života.</w:t>
      </w:r>
    </w:p>
    <w:p w14:paraId="1CAB7481" w14:textId="77777777" w:rsidR="00ED28FE" w:rsidRPr="000C5CA4" w:rsidRDefault="00ED28FE" w:rsidP="00672AC4">
      <w:pPr>
        <w:spacing w:line="276" w:lineRule="auto"/>
        <w:rPr>
          <w:sz w:val="22"/>
          <w:szCs w:val="20"/>
        </w:rPr>
      </w:pPr>
      <w:r w:rsidRPr="000C5CA4">
        <w:rPr>
          <w:sz w:val="22"/>
          <w:szCs w:val="20"/>
        </w:rPr>
        <w:t>Nasilje po osnovu spola uključuje, ali se ne ograničava, na</w:t>
      </w:r>
    </w:p>
    <w:p w14:paraId="78A13387" w14:textId="77777777" w:rsidR="00ED28FE" w:rsidRPr="000C5CA4" w:rsidRDefault="00ED28FE" w:rsidP="00672AC4">
      <w:pPr>
        <w:spacing w:line="276" w:lineRule="auto"/>
        <w:rPr>
          <w:sz w:val="22"/>
          <w:szCs w:val="20"/>
        </w:rPr>
      </w:pPr>
      <w:r w:rsidRPr="000C5CA4">
        <w:rPr>
          <w:sz w:val="22"/>
          <w:szCs w:val="20"/>
        </w:rPr>
        <w:t>nasilje koje se dešava u porodici ili</w:t>
      </w:r>
      <w:r w:rsidRPr="000C5CA4">
        <w:rPr>
          <w:spacing w:val="-4"/>
          <w:sz w:val="22"/>
          <w:szCs w:val="20"/>
        </w:rPr>
        <w:t xml:space="preserve"> </w:t>
      </w:r>
      <w:r w:rsidRPr="000C5CA4">
        <w:rPr>
          <w:sz w:val="22"/>
          <w:szCs w:val="20"/>
        </w:rPr>
        <w:t>domaćinstvu;</w:t>
      </w:r>
    </w:p>
    <w:p w14:paraId="5B42CADC" w14:textId="77777777" w:rsidR="00ED28FE" w:rsidRPr="000C5CA4" w:rsidRDefault="00ED28FE" w:rsidP="00672AC4">
      <w:pPr>
        <w:spacing w:line="276" w:lineRule="auto"/>
        <w:rPr>
          <w:sz w:val="22"/>
          <w:szCs w:val="20"/>
        </w:rPr>
      </w:pPr>
      <w:r w:rsidRPr="000C5CA4">
        <w:rPr>
          <w:sz w:val="22"/>
          <w:szCs w:val="20"/>
        </w:rPr>
        <w:t>nasilje koje se dešava u široj</w:t>
      </w:r>
      <w:r w:rsidRPr="000C5CA4">
        <w:rPr>
          <w:spacing w:val="-4"/>
          <w:sz w:val="22"/>
          <w:szCs w:val="20"/>
        </w:rPr>
        <w:t xml:space="preserve"> </w:t>
      </w:r>
      <w:r w:rsidRPr="000C5CA4">
        <w:rPr>
          <w:sz w:val="22"/>
          <w:szCs w:val="20"/>
        </w:rPr>
        <w:t>zajednici;</w:t>
      </w:r>
    </w:p>
    <w:p w14:paraId="2C6D4DD6" w14:textId="77777777" w:rsidR="00ED28FE" w:rsidRPr="000C5CA4" w:rsidRDefault="00ED28FE" w:rsidP="00672AC4">
      <w:pPr>
        <w:spacing w:line="276" w:lineRule="auto"/>
        <w:rPr>
          <w:sz w:val="22"/>
          <w:szCs w:val="20"/>
        </w:rPr>
      </w:pPr>
      <w:r w:rsidRPr="000C5CA4">
        <w:rPr>
          <w:sz w:val="22"/>
          <w:szCs w:val="20"/>
        </w:rPr>
        <w:t>nasilje koje počine ili tolerišu organi vlasti i drugi ovlašteni organi i</w:t>
      </w:r>
      <w:r w:rsidRPr="000C5CA4">
        <w:rPr>
          <w:spacing w:val="-10"/>
          <w:sz w:val="22"/>
          <w:szCs w:val="20"/>
        </w:rPr>
        <w:t xml:space="preserve"> </w:t>
      </w:r>
      <w:r w:rsidRPr="000C5CA4">
        <w:rPr>
          <w:sz w:val="22"/>
          <w:szCs w:val="20"/>
        </w:rPr>
        <w:t>pojedinci;</w:t>
      </w:r>
    </w:p>
    <w:p w14:paraId="784FE481" w14:textId="77777777" w:rsidR="00ED28FE" w:rsidRPr="000C5CA4" w:rsidRDefault="00ED28FE" w:rsidP="00672AC4">
      <w:pPr>
        <w:spacing w:line="276" w:lineRule="auto"/>
        <w:rPr>
          <w:sz w:val="22"/>
          <w:szCs w:val="20"/>
        </w:rPr>
      </w:pPr>
      <w:r w:rsidRPr="000C5CA4">
        <w:rPr>
          <w:sz w:val="22"/>
          <w:szCs w:val="20"/>
        </w:rPr>
        <w:t>nasilje po osnovu spola u slučaju oružanih</w:t>
      </w:r>
      <w:r w:rsidRPr="000C5CA4">
        <w:rPr>
          <w:spacing w:val="-5"/>
          <w:sz w:val="22"/>
          <w:szCs w:val="20"/>
        </w:rPr>
        <w:t xml:space="preserve"> </w:t>
      </w:r>
      <w:r w:rsidRPr="000C5CA4">
        <w:rPr>
          <w:sz w:val="22"/>
          <w:szCs w:val="20"/>
        </w:rPr>
        <w:t>sukoba.</w:t>
      </w:r>
    </w:p>
    <w:p w14:paraId="2BFE19EE" w14:textId="77777777" w:rsidR="00ED28FE" w:rsidRPr="000C5CA4" w:rsidRDefault="00ED28FE" w:rsidP="00672AC4">
      <w:pPr>
        <w:spacing w:line="276" w:lineRule="auto"/>
        <w:rPr>
          <w:sz w:val="22"/>
          <w:szCs w:val="20"/>
        </w:rPr>
      </w:pPr>
    </w:p>
    <w:p w14:paraId="4E359D0C" w14:textId="77777777" w:rsidR="00ED28FE" w:rsidRPr="000C5CA4" w:rsidRDefault="00ED28FE" w:rsidP="00672AC4">
      <w:pPr>
        <w:spacing w:line="276" w:lineRule="auto"/>
        <w:rPr>
          <w:sz w:val="22"/>
          <w:szCs w:val="20"/>
        </w:rPr>
      </w:pPr>
      <w:r w:rsidRPr="000C5CA4">
        <w:rPr>
          <w:b/>
          <w:sz w:val="22"/>
          <w:szCs w:val="20"/>
        </w:rPr>
        <w:t xml:space="preserve">Viktimizacija </w:t>
      </w:r>
      <w:r w:rsidRPr="000C5CA4">
        <w:rPr>
          <w:sz w:val="22"/>
          <w:szCs w:val="20"/>
        </w:rPr>
        <w:t>je oblik diskriminacije koji postoji kada se osoba ili grupa osoba dovede u nepovoljniji položaj zbog: odbijanja naloga za diskriminatornim postupanjem, prijave diskriminacije,</w:t>
      </w:r>
      <w:r w:rsidRPr="000C5CA4">
        <w:rPr>
          <w:spacing w:val="-8"/>
          <w:sz w:val="22"/>
          <w:szCs w:val="20"/>
        </w:rPr>
        <w:t xml:space="preserve"> </w:t>
      </w:r>
      <w:r w:rsidRPr="000C5CA4">
        <w:rPr>
          <w:sz w:val="22"/>
          <w:szCs w:val="20"/>
        </w:rPr>
        <w:t>svjedočenja</w:t>
      </w:r>
      <w:r w:rsidRPr="000C5CA4">
        <w:rPr>
          <w:spacing w:val="-6"/>
          <w:sz w:val="22"/>
          <w:szCs w:val="20"/>
        </w:rPr>
        <w:t xml:space="preserve"> </w:t>
      </w:r>
      <w:r w:rsidRPr="000C5CA4">
        <w:rPr>
          <w:sz w:val="22"/>
          <w:szCs w:val="20"/>
        </w:rPr>
        <w:t>u</w:t>
      </w:r>
      <w:r w:rsidRPr="000C5CA4">
        <w:rPr>
          <w:spacing w:val="-6"/>
          <w:sz w:val="22"/>
          <w:szCs w:val="20"/>
        </w:rPr>
        <w:t xml:space="preserve"> </w:t>
      </w:r>
      <w:r w:rsidRPr="000C5CA4">
        <w:rPr>
          <w:sz w:val="22"/>
          <w:szCs w:val="20"/>
        </w:rPr>
        <w:t>postupku</w:t>
      </w:r>
      <w:r w:rsidRPr="000C5CA4">
        <w:rPr>
          <w:spacing w:val="-6"/>
          <w:sz w:val="22"/>
          <w:szCs w:val="20"/>
        </w:rPr>
        <w:t xml:space="preserve"> </w:t>
      </w:r>
      <w:r w:rsidRPr="000C5CA4">
        <w:rPr>
          <w:sz w:val="22"/>
          <w:szCs w:val="20"/>
        </w:rPr>
        <w:t>zaštite</w:t>
      </w:r>
      <w:r w:rsidRPr="000C5CA4">
        <w:rPr>
          <w:spacing w:val="-7"/>
          <w:sz w:val="22"/>
          <w:szCs w:val="20"/>
        </w:rPr>
        <w:t xml:space="preserve"> </w:t>
      </w:r>
      <w:r w:rsidRPr="000C5CA4">
        <w:rPr>
          <w:sz w:val="22"/>
          <w:szCs w:val="20"/>
        </w:rPr>
        <w:t>od</w:t>
      </w:r>
      <w:r w:rsidRPr="000C5CA4">
        <w:rPr>
          <w:spacing w:val="-6"/>
          <w:sz w:val="22"/>
          <w:szCs w:val="20"/>
        </w:rPr>
        <w:t xml:space="preserve"> </w:t>
      </w:r>
      <w:r w:rsidRPr="000C5CA4">
        <w:rPr>
          <w:sz w:val="22"/>
          <w:szCs w:val="20"/>
        </w:rPr>
        <w:t>diskriminacije</w:t>
      </w:r>
      <w:r w:rsidRPr="000C5CA4">
        <w:rPr>
          <w:spacing w:val="-8"/>
          <w:sz w:val="22"/>
          <w:szCs w:val="20"/>
        </w:rPr>
        <w:t xml:space="preserve"> </w:t>
      </w:r>
      <w:r w:rsidRPr="000C5CA4">
        <w:rPr>
          <w:sz w:val="22"/>
          <w:szCs w:val="20"/>
        </w:rPr>
        <w:t>na</w:t>
      </w:r>
      <w:r w:rsidRPr="000C5CA4">
        <w:rPr>
          <w:spacing w:val="-4"/>
          <w:sz w:val="22"/>
          <w:szCs w:val="20"/>
        </w:rPr>
        <w:t xml:space="preserve"> </w:t>
      </w:r>
      <w:r w:rsidRPr="000C5CA4">
        <w:rPr>
          <w:sz w:val="22"/>
          <w:szCs w:val="20"/>
        </w:rPr>
        <w:t>osnovu</w:t>
      </w:r>
      <w:r w:rsidRPr="000C5CA4">
        <w:rPr>
          <w:spacing w:val="-6"/>
          <w:sz w:val="22"/>
          <w:szCs w:val="20"/>
        </w:rPr>
        <w:t xml:space="preserve"> </w:t>
      </w:r>
      <w:r w:rsidRPr="000C5CA4">
        <w:rPr>
          <w:sz w:val="22"/>
          <w:szCs w:val="20"/>
        </w:rPr>
        <w:t>spola,</w:t>
      </w:r>
      <w:r w:rsidRPr="000C5CA4">
        <w:rPr>
          <w:spacing w:val="-8"/>
          <w:sz w:val="22"/>
          <w:szCs w:val="20"/>
        </w:rPr>
        <w:t xml:space="preserve"> </w:t>
      </w:r>
      <w:r w:rsidRPr="000C5CA4">
        <w:rPr>
          <w:sz w:val="22"/>
          <w:szCs w:val="20"/>
        </w:rPr>
        <w:t>ili</w:t>
      </w:r>
      <w:r w:rsidRPr="000C5CA4">
        <w:rPr>
          <w:spacing w:val="-4"/>
          <w:sz w:val="22"/>
          <w:szCs w:val="20"/>
        </w:rPr>
        <w:t xml:space="preserve"> </w:t>
      </w:r>
      <w:r w:rsidRPr="000C5CA4">
        <w:rPr>
          <w:sz w:val="22"/>
          <w:szCs w:val="20"/>
        </w:rPr>
        <w:t>ako</w:t>
      </w:r>
      <w:r w:rsidRPr="000C5CA4">
        <w:rPr>
          <w:spacing w:val="-6"/>
          <w:sz w:val="22"/>
          <w:szCs w:val="20"/>
        </w:rPr>
        <w:t xml:space="preserve"> </w:t>
      </w:r>
      <w:r w:rsidRPr="000C5CA4">
        <w:rPr>
          <w:sz w:val="22"/>
          <w:szCs w:val="20"/>
        </w:rPr>
        <w:t>je na</w:t>
      </w:r>
      <w:r w:rsidRPr="000C5CA4">
        <w:rPr>
          <w:spacing w:val="-7"/>
          <w:sz w:val="22"/>
          <w:szCs w:val="20"/>
        </w:rPr>
        <w:t xml:space="preserve"> </w:t>
      </w:r>
      <w:r w:rsidRPr="000C5CA4">
        <w:rPr>
          <w:sz w:val="22"/>
          <w:szCs w:val="20"/>
        </w:rPr>
        <w:t>bilo</w:t>
      </w:r>
      <w:r w:rsidRPr="000C5CA4">
        <w:rPr>
          <w:spacing w:val="-9"/>
          <w:sz w:val="22"/>
          <w:szCs w:val="20"/>
        </w:rPr>
        <w:t xml:space="preserve"> </w:t>
      </w:r>
      <w:r w:rsidRPr="000C5CA4">
        <w:rPr>
          <w:sz w:val="22"/>
          <w:szCs w:val="20"/>
        </w:rPr>
        <w:t>koji</w:t>
      </w:r>
      <w:r w:rsidRPr="000C5CA4">
        <w:rPr>
          <w:spacing w:val="-5"/>
          <w:sz w:val="22"/>
          <w:szCs w:val="20"/>
        </w:rPr>
        <w:t xml:space="preserve"> </w:t>
      </w:r>
      <w:r w:rsidRPr="000C5CA4">
        <w:rPr>
          <w:sz w:val="22"/>
          <w:szCs w:val="20"/>
        </w:rPr>
        <w:t>drugi</w:t>
      </w:r>
      <w:r w:rsidRPr="000C5CA4">
        <w:rPr>
          <w:spacing w:val="-4"/>
          <w:sz w:val="22"/>
          <w:szCs w:val="20"/>
        </w:rPr>
        <w:t xml:space="preserve"> </w:t>
      </w:r>
      <w:r w:rsidRPr="000C5CA4">
        <w:rPr>
          <w:sz w:val="22"/>
          <w:szCs w:val="20"/>
        </w:rPr>
        <w:t>način</w:t>
      </w:r>
      <w:r w:rsidRPr="000C5CA4">
        <w:rPr>
          <w:spacing w:val="-7"/>
          <w:sz w:val="22"/>
          <w:szCs w:val="20"/>
        </w:rPr>
        <w:t xml:space="preserve"> </w:t>
      </w:r>
      <w:r w:rsidRPr="000C5CA4">
        <w:rPr>
          <w:sz w:val="22"/>
          <w:szCs w:val="20"/>
        </w:rPr>
        <w:t>osoba</w:t>
      </w:r>
      <w:r w:rsidRPr="000C5CA4">
        <w:rPr>
          <w:spacing w:val="-5"/>
          <w:sz w:val="22"/>
          <w:szCs w:val="20"/>
        </w:rPr>
        <w:t xml:space="preserve"> </w:t>
      </w:r>
      <w:r w:rsidRPr="000C5CA4">
        <w:rPr>
          <w:sz w:val="22"/>
          <w:szCs w:val="20"/>
        </w:rPr>
        <w:t>sudjelovala</w:t>
      </w:r>
      <w:r w:rsidRPr="000C5CA4">
        <w:rPr>
          <w:spacing w:val="-6"/>
          <w:sz w:val="22"/>
          <w:szCs w:val="20"/>
        </w:rPr>
        <w:t xml:space="preserve"> </w:t>
      </w:r>
      <w:r w:rsidRPr="000C5CA4">
        <w:rPr>
          <w:sz w:val="22"/>
          <w:szCs w:val="20"/>
        </w:rPr>
        <w:t>u</w:t>
      </w:r>
      <w:r w:rsidRPr="000C5CA4">
        <w:rPr>
          <w:spacing w:val="-7"/>
          <w:sz w:val="22"/>
          <w:szCs w:val="20"/>
        </w:rPr>
        <w:t xml:space="preserve"> </w:t>
      </w:r>
      <w:r w:rsidRPr="000C5CA4">
        <w:rPr>
          <w:sz w:val="22"/>
          <w:szCs w:val="20"/>
        </w:rPr>
        <w:t>postupku</w:t>
      </w:r>
      <w:r w:rsidRPr="000C5CA4">
        <w:rPr>
          <w:spacing w:val="-7"/>
          <w:sz w:val="22"/>
          <w:szCs w:val="20"/>
        </w:rPr>
        <w:t xml:space="preserve"> </w:t>
      </w:r>
      <w:r w:rsidRPr="000C5CA4">
        <w:rPr>
          <w:sz w:val="22"/>
          <w:szCs w:val="20"/>
        </w:rPr>
        <w:t>vođenom</w:t>
      </w:r>
      <w:r w:rsidRPr="000C5CA4">
        <w:rPr>
          <w:spacing w:val="-4"/>
          <w:sz w:val="22"/>
          <w:szCs w:val="20"/>
        </w:rPr>
        <w:t xml:space="preserve"> </w:t>
      </w:r>
      <w:r w:rsidRPr="000C5CA4">
        <w:rPr>
          <w:sz w:val="22"/>
          <w:szCs w:val="20"/>
        </w:rPr>
        <w:t>povodom</w:t>
      </w:r>
      <w:r w:rsidRPr="000C5CA4">
        <w:rPr>
          <w:spacing w:val="-7"/>
          <w:sz w:val="22"/>
          <w:szCs w:val="20"/>
        </w:rPr>
        <w:t xml:space="preserve"> </w:t>
      </w:r>
      <w:r w:rsidRPr="000C5CA4">
        <w:rPr>
          <w:sz w:val="22"/>
          <w:szCs w:val="20"/>
        </w:rPr>
        <w:t>diskriminacije</w:t>
      </w:r>
      <w:r w:rsidRPr="000C5CA4">
        <w:rPr>
          <w:spacing w:val="-9"/>
          <w:sz w:val="22"/>
          <w:szCs w:val="20"/>
        </w:rPr>
        <w:t xml:space="preserve"> </w:t>
      </w:r>
      <w:r w:rsidRPr="000C5CA4">
        <w:rPr>
          <w:sz w:val="22"/>
          <w:szCs w:val="20"/>
        </w:rPr>
        <w:t>na osnovu</w:t>
      </w:r>
      <w:r w:rsidRPr="000C5CA4">
        <w:rPr>
          <w:spacing w:val="-1"/>
          <w:sz w:val="22"/>
          <w:szCs w:val="20"/>
        </w:rPr>
        <w:t xml:space="preserve"> </w:t>
      </w:r>
      <w:r w:rsidRPr="000C5CA4">
        <w:rPr>
          <w:sz w:val="22"/>
          <w:szCs w:val="20"/>
        </w:rPr>
        <w:t>spola.</w:t>
      </w:r>
    </w:p>
    <w:p w14:paraId="79D6AA2D" w14:textId="77777777" w:rsidR="00ED28FE" w:rsidRPr="000C5CA4" w:rsidRDefault="00ED28FE" w:rsidP="00672AC4">
      <w:pPr>
        <w:spacing w:line="276" w:lineRule="auto"/>
        <w:rPr>
          <w:sz w:val="22"/>
          <w:szCs w:val="20"/>
        </w:rPr>
      </w:pPr>
    </w:p>
    <w:p w14:paraId="3B4B71DD" w14:textId="77777777" w:rsidR="00ED28FE" w:rsidRPr="000C5CA4" w:rsidRDefault="00ED28FE" w:rsidP="00672AC4">
      <w:pPr>
        <w:spacing w:line="276" w:lineRule="auto"/>
        <w:rPr>
          <w:sz w:val="22"/>
          <w:szCs w:val="20"/>
        </w:rPr>
      </w:pPr>
      <w:r w:rsidRPr="000C5CA4">
        <w:rPr>
          <w:b/>
          <w:sz w:val="22"/>
          <w:szCs w:val="20"/>
        </w:rPr>
        <w:t xml:space="preserve">Spol </w:t>
      </w:r>
      <w:r w:rsidRPr="000C5CA4">
        <w:rPr>
          <w:sz w:val="22"/>
          <w:szCs w:val="20"/>
        </w:rPr>
        <w:t>predstavlja biološke i psihološke karakteristike po kojima se razlikuju osobe muškog i ženskog spola.</w:t>
      </w:r>
    </w:p>
    <w:p w14:paraId="585C0C51" w14:textId="77777777" w:rsidR="00ED28FE" w:rsidRPr="000C5CA4" w:rsidRDefault="00ED28FE" w:rsidP="00672AC4">
      <w:pPr>
        <w:spacing w:line="276" w:lineRule="auto"/>
        <w:rPr>
          <w:sz w:val="22"/>
          <w:szCs w:val="20"/>
        </w:rPr>
      </w:pPr>
    </w:p>
    <w:p w14:paraId="5E5161E1" w14:textId="77777777" w:rsidR="00ED28FE" w:rsidRPr="000C5CA4" w:rsidRDefault="00ED28FE" w:rsidP="00672AC4">
      <w:pPr>
        <w:spacing w:line="276" w:lineRule="auto"/>
        <w:rPr>
          <w:sz w:val="22"/>
          <w:szCs w:val="20"/>
        </w:rPr>
      </w:pPr>
      <w:r w:rsidRPr="000C5CA4">
        <w:rPr>
          <w:b/>
          <w:sz w:val="22"/>
          <w:szCs w:val="20"/>
        </w:rPr>
        <w:t>Gender/rod</w:t>
      </w:r>
      <w:r w:rsidRPr="000C5CA4">
        <w:rPr>
          <w:sz w:val="22"/>
          <w:szCs w:val="20"/>
        </w:rPr>
        <w:t xml:space="preserve"> predstavlja sociološki i kulturološki uvjetovanu razliku između osoba muškog i ženskog spola i odnosi se na sve uloge i osobine koje nisu uvjetovane ili određene isključivo prirodnim ili biološkim faktorima, nego su prije proizvod normi, prakse, običaja i tradicije, i kroz vrijeme su promjenljivi.</w:t>
      </w:r>
    </w:p>
    <w:p w14:paraId="7324E880" w14:textId="77777777" w:rsidR="00ED28FE" w:rsidRPr="000C5CA4" w:rsidRDefault="00ED28FE" w:rsidP="00672AC4">
      <w:pPr>
        <w:spacing w:line="276" w:lineRule="auto"/>
        <w:rPr>
          <w:sz w:val="22"/>
          <w:szCs w:val="20"/>
        </w:rPr>
      </w:pPr>
    </w:p>
    <w:p w14:paraId="79D5213E" w14:textId="1F0BC0FE" w:rsidR="00ED28FE" w:rsidRPr="000C5CA4" w:rsidRDefault="00ED28FE" w:rsidP="00672AC4">
      <w:pPr>
        <w:spacing w:line="276" w:lineRule="auto"/>
        <w:rPr>
          <w:sz w:val="22"/>
          <w:szCs w:val="20"/>
        </w:rPr>
      </w:pPr>
      <w:r w:rsidRPr="000C5CA4">
        <w:rPr>
          <w:b/>
          <w:sz w:val="22"/>
          <w:szCs w:val="20"/>
        </w:rPr>
        <w:lastRenderedPageBreak/>
        <w:t xml:space="preserve">Ravnopravnost spolova </w:t>
      </w:r>
      <w:r w:rsidRPr="000C5CA4">
        <w:rPr>
          <w:sz w:val="22"/>
          <w:szCs w:val="20"/>
        </w:rPr>
        <w:t>znači da su osobe muškog i ženskog spola jednako prisutne u svim područjima javnog i privatnog života, da imaju jednak status, jednake mogućnosti za ostvarivanje svih prava, kao i jednaku korist od ostvarenih</w:t>
      </w:r>
      <w:r w:rsidRPr="000C5CA4">
        <w:rPr>
          <w:spacing w:val="-11"/>
          <w:sz w:val="22"/>
          <w:szCs w:val="20"/>
        </w:rPr>
        <w:t xml:space="preserve"> </w:t>
      </w:r>
      <w:r w:rsidRPr="000C5CA4">
        <w:rPr>
          <w:sz w:val="22"/>
          <w:szCs w:val="20"/>
        </w:rPr>
        <w:t>rezultata.</w:t>
      </w:r>
    </w:p>
    <w:p w14:paraId="62619759" w14:textId="27D12F2E" w:rsidR="00ED28FE" w:rsidRPr="000C5CA4" w:rsidRDefault="00ED28FE" w:rsidP="00672AC4">
      <w:pPr>
        <w:spacing w:line="276" w:lineRule="auto"/>
        <w:rPr>
          <w:sz w:val="22"/>
          <w:szCs w:val="20"/>
        </w:rPr>
      </w:pPr>
      <w:r w:rsidRPr="000C5CA4">
        <w:rPr>
          <w:b/>
          <w:sz w:val="22"/>
          <w:szCs w:val="20"/>
        </w:rPr>
        <w:t xml:space="preserve">Jednak tretman </w:t>
      </w:r>
      <w:r w:rsidRPr="000C5CA4">
        <w:rPr>
          <w:sz w:val="22"/>
          <w:szCs w:val="20"/>
        </w:rPr>
        <w:t>svih osoba muškog i ženskog spola podrazumijeva osiguranje odsustva diskriminacije po osnovu spola.</w:t>
      </w:r>
    </w:p>
    <w:p w14:paraId="4BC00C4F" w14:textId="09AF5EB6" w:rsidR="00ED28FE" w:rsidRPr="000C5CA4" w:rsidRDefault="00ED28FE" w:rsidP="00672AC4">
      <w:pPr>
        <w:spacing w:line="276" w:lineRule="auto"/>
        <w:rPr>
          <w:sz w:val="22"/>
          <w:szCs w:val="20"/>
        </w:rPr>
      </w:pPr>
      <w:r w:rsidRPr="000C5CA4">
        <w:rPr>
          <w:b/>
          <w:sz w:val="22"/>
          <w:szCs w:val="20"/>
        </w:rPr>
        <w:t>Jednake</w:t>
      </w:r>
      <w:r w:rsidRPr="000C5CA4">
        <w:rPr>
          <w:b/>
          <w:spacing w:val="-13"/>
          <w:sz w:val="22"/>
          <w:szCs w:val="20"/>
        </w:rPr>
        <w:t xml:space="preserve"> </w:t>
      </w:r>
      <w:r w:rsidRPr="000C5CA4">
        <w:rPr>
          <w:b/>
          <w:sz w:val="22"/>
          <w:szCs w:val="20"/>
        </w:rPr>
        <w:t>mogućnosti</w:t>
      </w:r>
      <w:r w:rsidRPr="000C5CA4">
        <w:rPr>
          <w:b/>
          <w:spacing w:val="-11"/>
          <w:sz w:val="22"/>
          <w:szCs w:val="20"/>
        </w:rPr>
        <w:t xml:space="preserve"> </w:t>
      </w:r>
      <w:r w:rsidRPr="000C5CA4">
        <w:rPr>
          <w:b/>
          <w:sz w:val="22"/>
          <w:szCs w:val="20"/>
        </w:rPr>
        <w:t>svih</w:t>
      </w:r>
      <w:r w:rsidRPr="000C5CA4">
        <w:rPr>
          <w:b/>
          <w:spacing w:val="-11"/>
          <w:sz w:val="22"/>
          <w:szCs w:val="20"/>
        </w:rPr>
        <w:t xml:space="preserve"> </w:t>
      </w:r>
      <w:r w:rsidRPr="000C5CA4">
        <w:rPr>
          <w:b/>
          <w:sz w:val="22"/>
          <w:szCs w:val="20"/>
        </w:rPr>
        <w:t>osoba</w:t>
      </w:r>
      <w:r w:rsidRPr="000C5CA4">
        <w:rPr>
          <w:b/>
          <w:spacing w:val="-13"/>
          <w:sz w:val="22"/>
          <w:szCs w:val="20"/>
        </w:rPr>
        <w:t xml:space="preserve"> </w:t>
      </w:r>
      <w:r w:rsidRPr="000C5CA4">
        <w:rPr>
          <w:b/>
          <w:sz w:val="22"/>
          <w:szCs w:val="20"/>
        </w:rPr>
        <w:t>bez</w:t>
      </w:r>
      <w:r w:rsidRPr="000C5CA4">
        <w:rPr>
          <w:b/>
          <w:spacing w:val="-14"/>
          <w:sz w:val="22"/>
          <w:szCs w:val="20"/>
        </w:rPr>
        <w:t xml:space="preserve"> </w:t>
      </w:r>
      <w:r w:rsidRPr="000C5CA4">
        <w:rPr>
          <w:b/>
          <w:sz w:val="22"/>
          <w:szCs w:val="20"/>
        </w:rPr>
        <w:t>obzira</w:t>
      </w:r>
      <w:r w:rsidRPr="000C5CA4">
        <w:rPr>
          <w:b/>
          <w:spacing w:val="-12"/>
          <w:sz w:val="22"/>
          <w:szCs w:val="20"/>
        </w:rPr>
        <w:t xml:space="preserve"> </w:t>
      </w:r>
      <w:r w:rsidRPr="000C5CA4">
        <w:rPr>
          <w:b/>
          <w:sz w:val="22"/>
          <w:szCs w:val="20"/>
        </w:rPr>
        <w:t>na</w:t>
      </w:r>
      <w:r w:rsidRPr="000C5CA4">
        <w:rPr>
          <w:b/>
          <w:spacing w:val="-13"/>
          <w:sz w:val="22"/>
          <w:szCs w:val="20"/>
        </w:rPr>
        <w:t xml:space="preserve"> </w:t>
      </w:r>
      <w:r w:rsidRPr="000C5CA4">
        <w:rPr>
          <w:b/>
          <w:sz w:val="22"/>
          <w:szCs w:val="20"/>
        </w:rPr>
        <w:t>spol</w:t>
      </w:r>
      <w:r w:rsidRPr="000C5CA4">
        <w:rPr>
          <w:b/>
          <w:spacing w:val="-6"/>
          <w:sz w:val="22"/>
          <w:szCs w:val="20"/>
        </w:rPr>
        <w:t xml:space="preserve"> </w:t>
      </w:r>
      <w:r w:rsidRPr="000C5CA4">
        <w:rPr>
          <w:sz w:val="22"/>
          <w:szCs w:val="20"/>
        </w:rPr>
        <w:t>podrazumijeva</w:t>
      </w:r>
      <w:r w:rsidRPr="000C5CA4">
        <w:rPr>
          <w:spacing w:val="-12"/>
          <w:sz w:val="22"/>
          <w:szCs w:val="20"/>
        </w:rPr>
        <w:t xml:space="preserve"> </w:t>
      </w:r>
      <w:r w:rsidRPr="000C5CA4">
        <w:rPr>
          <w:sz w:val="22"/>
          <w:szCs w:val="20"/>
        </w:rPr>
        <w:t>odsustvo</w:t>
      </w:r>
      <w:r w:rsidRPr="000C5CA4">
        <w:rPr>
          <w:spacing w:val="-15"/>
          <w:sz w:val="22"/>
          <w:szCs w:val="20"/>
        </w:rPr>
        <w:t xml:space="preserve"> </w:t>
      </w:r>
      <w:r w:rsidRPr="000C5CA4">
        <w:rPr>
          <w:sz w:val="22"/>
          <w:szCs w:val="20"/>
        </w:rPr>
        <w:t>prepreka za ekonomsko, političko i društveno sudjelovanje po osnovu</w:t>
      </w:r>
      <w:r w:rsidRPr="000C5CA4">
        <w:rPr>
          <w:spacing w:val="-6"/>
          <w:sz w:val="22"/>
          <w:szCs w:val="20"/>
        </w:rPr>
        <w:t xml:space="preserve"> </w:t>
      </w:r>
      <w:r w:rsidRPr="000C5CA4">
        <w:rPr>
          <w:sz w:val="22"/>
          <w:szCs w:val="20"/>
        </w:rPr>
        <w:t>spola.</w:t>
      </w:r>
    </w:p>
    <w:p w14:paraId="53913F4C" w14:textId="33A92055" w:rsidR="00ED28FE" w:rsidRPr="000C5CA4" w:rsidRDefault="00ED28FE" w:rsidP="00672AC4">
      <w:pPr>
        <w:spacing w:line="276" w:lineRule="auto"/>
        <w:rPr>
          <w:sz w:val="22"/>
          <w:szCs w:val="20"/>
        </w:rPr>
      </w:pPr>
      <w:r w:rsidRPr="000C5CA4">
        <w:rPr>
          <w:b/>
          <w:sz w:val="22"/>
          <w:szCs w:val="20"/>
        </w:rPr>
        <w:t xml:space="preserve">Diskriminacija u jeziku </w:t>
      </w:r>
      <w:r w:rsidRPr="000C5CA4">
        <w:rPr>
          <w:sz w:val="22"/>
          <w:szCs w:val="20"/>
        </w:rPr>
        <w:t>postoji kada se koristi isključivo jedan gramatički rod kao generički pojam.</w:t>
      </w:r>
    </w:p>
    <w:p w14:paraId="64E3D4D2" w14:textId="7A4A2661" w:rsidR="00ED28FE" w:rsidRPr="000C5CA4" w:rsidRDefault="00ED28FE" w:rsidP="00672AC4">
      <w:pPr>
        <w:spacing w:line="276" w:lineRule="auto"/>
        <w:rPr>
          <w:sz w:val="22"/>
          <w:szCs w:val="20"/>
        </w:rPr>
      </w:pPr>
      <w:r w:rsidRPr="000C5CA4">
        <w:rPr>
          <w:b/>
          <w:sz w:val="22"/>
          <w:szCs w:val="20"/>
        </w:rPr>
        <w:t xml:space="preserve">Institucionalni mehanizmi za jednakopravnost spolova </w:t>
      </w:r>
      <w:r w:rsidRPr="000C5CA4">
        <w:rPr>
          <w:sz w:val="22"/>
          <w:szCs w:val="20"/>
        </w:rPr>
        <w:t>predstavljaju tijela koja su uspostavljena od nadležnih zakonodavnih, izvršnih i organa uprave svih nivoa vlasti u Bosni i Hercegovini radi provođenja Zakona o ravnopravnosti spolova u BiH, koordiniranja i</w:t>
      </w:r>
      <w:r w:rsidRPr="000C5CA4">
        <w:rPr>
          <w:spacing w:val="-8"/>
          <w:sz w:val="22"/>
          <w:szCs w:val="20"/>
        </w:rPr>
        <w:t xml:space="preserve"> </w:t>
      </w:r>
      <w:r w:rsidRPr="000C5CA4">
        <w:rPr>
          <w:sz w:val="22"/>
          <w:szCs w:val="20"/>
        </w:rPr>
        <w:t>realizacije</w:t>
      </w:r>
      <w:r w:rsidRPr="000C5CA4">
        <w:rPr>
          <w:spacing w:val="-11"/>
          <w:sz w:val="22"/>
          <w:szCs w:val="20"/>
        </w:rPr>
        <w:t xml:space="preserve"> </w:t>
      </w:r>
      <w:r w:rsidRPr="000C5CA4">
        <w:rPr>
          <w:sz w:val="22"/>
          <w:szCs w:val="20"/>
        </w:rPr>
        <w:t>programskih</w:t>
      </w:r>
      <w:r w:rsidRPr="000C5CA4">
        <w:rPr>
          <w:spacing w:val="-8"/>
          <w:sz w:val="22"/>
          <w:szCs w:val="20"/>
        </w:rPr>
        <w:t xml:space="preserve"> </w:t>
      </w:r>
      <w:r w:rsidRPr="000C5CA4">
        <w:rPr>
          <w:sz w:val="22"/>
          <w:szCs w:val="20"/>
        </w:rPr>
        <w:t>ciljeva</w:t>
      </w:r>
      <w:r w:rsidRPr="000C5CA4">
        <w:rPr>
          <w:spacing w:val="-10"/>
          <w:sz w:val="22"/>
          <w:szCs w:val="20"/>
        </w:rPr>
        <w:t xml:space="preserve"> </w:t>
      </w:r>
      <w:r w:rsidRPr="000C5CA4">
        <w:rPr>
          <w:sz w:val="22"/>
          <w:szCs w:val="20"/>
        </w:rPr>
        <w:t>iz</w:t>
      </w:r>
      <w:r w:rsidRPr="000C5CA4">
        <w:rPr>
          <w:spacing w:val="-9"/>
          <w:sz w:val="22"/>
          <w:szCs w:val="20"/>
        </w:rPr>
        <w:t xml:space="preserve"> </w:t>
      </w:r>
      <w:r w:rsidRPr="000C5CA4">
        <w:rPr>
          <w:sz w:val="22"/>
          <w:szCs w:val="20"/>
        </w:rPr>
        <w:t>Gender</w:t>
      </w:r>
      <w:r w:rsidRPr="000C5CA4">
        <w:rPr>
          <w:spacing w:val="-10"/>
          <w:sz w:val="22"/>
          <w:szCs w:val="20"/>
        </w:rPr>
        <w:t xml:space="preserve"> </w:t>
      </w:r>
      <w:r w:rsidRPr="000C5CA4">
        <w:rPr>
          <w:sz w:val="22"/>
          <w:szCs w:val="20"/>
        </w:rPr>
        <w:t>akcionog</w:t>
      </w:r>
      <w:r w:rsidRPr="000C5CA4">
        <w:rPr>
          <w:spacing w:val="-9"/>
          <w:sz w:val="22"/>
          <w:szCs w:val="20"/>
        </w:rPr>
        <w:t xml:space="preserve"> </w:t>
      </w:r>
      <w:r w:rsidRPr="000C5CA4">
        <w:rPr>
          <w:sz w:val="22"/>
          <w:szCs w:val="20"/>
        </w:rPr>
        <w:t>plana</w:t>
      </w:r>
      <w:r w:rsidRPr="000C5CA4">
        <w:rPr>
          <w:spacing w:val="-10"/>
          <w:sz w:val="22"/>
          <w:szCs w:val="20"/>
        </w:rPr>
        <w:t xml:space="preserve"> </w:t>
      </w:r>
      <w:r w:rsidRPr="000C5CA4">
        <w:rPr>
          <w:sz w:val="22"/>
          <w:szCs w:val="20"/>
        </w:rPr>
        <w:t>Bosne</w:t>
      </w:r>
      <w:r w:rsidRPr="000C5CA4">
        <w:rPr>
          <w:spacing w:val="-8"/>
          <w:sz w:val="22"/>
          <w:szCs w:val="20"/>
        </w:rPr>
        <w:t xml:space="preserve"> </w:t>
      </w:r>
      <w:r w:rsidRPr="000C5CA4">
        <w:rPr>
          <w:sz w:val="22"/>
          <w:szCs w:val="20"/>
        </w:rPr>
        <w:t>i</w:t>
      </w:r>
      <w:r w:rsidRPr="000C5CA4">
        <w:rPr>
          <w:spacing w:val="-7"/>
          <w:sz w:val="22"/>
          <w:szCs w:val="20"/>
        </w:rPr>
        <w:t xml:space="preserve"> </w:t>
      </w:r>
      <w:r w:rsidRPr="000C5CA4">
        <w:rPr>
          <w:sz w:val="22"/>
          <w:szCs w:val="20"/>
        </w:rPr>
        <w:t>Hercegovine</w:t>
      </w:r>
      <w:r w:rsidRPr="000C5CA4">
        <w:rPr>
          <w:spacing w:val="-12"/>
          <w:sz w:val="22"/>
          <w:szCs w:val="20"/>
        </w:rPr>
        <w:t xml:space="preserve"> </w:t>
      </w:r>
      <w:r w:rsidRPr="000C5CA4">
        <w:rPr>
          <w:sz w:val="22"/>
          <w:szCs w:val="20"/>
        </w:rPr>
        <w:t>i</w:t>
      </w:r>
      <w:r w:rsidRPr="000C5CA4">
        <w:rPr>
          <w:spacing w:val="-7"/>
          <w:sz w:val="22"/>
          <w:szCs w:val="20"/>
        </w:rPr>
        <w:t xml:space="preserve"> </w:t>
      </w:r>
      <w:r w:rsidRPr="000C5CA4">
        <w:rPr>
          <w:sz w:val="22"/>
          <w:szCs w:val="20"/>
        </w:rPr>
        <w:t>osiguranja provođenja međunarodnih standarda u oblasti ravnopravnosti</w:t>
      </w:r>
      <w:r w:rsidRPr="000C5CA4">
        <w:rPr>
          <w:spacing w:val="-3"/>
          <w:sz w:val="22"/>
          <w:szCs w:val="20"/>
        </w:rPr>
        <w:t xml:space="preserve"> </w:t>
      </w:r>
      <w:r w:rsidRPr="000C5CA4">
        <w:rPr>
          <w:sz w:val="22"/>
          <w:szCs w:val="20"/>
        </w:rPr>
        <w:t>spolova.</w:t>
      </w:r>
    </w:p>
    <w:p w14:paraId="13685A67" w14:textId="77777777" w:rsidR="00ED28FE" w:rsidRPr="000C5CA4" w:rsidRDefault="00ED28FE" w:rsidP="00672AC4">
      <w:pPr>
        <w:spacing w:line="276" w:lineRule="auto"/>
        <w:rPr>
          <w:sz w:val="22"/>
          <w:szCs w:val="20"/>
        </w:rPr>
      </w:pPr>
      <w:r w:rsidRPr="000C5CA4">
        <w:rPr>
          <w:b/>
          <w:sz w:val="22"/>
          <w:szCs w:val="20"/>
        </w:rPr>
        <w:t>Rodno senzitivno ili odgovorno budžetiranje</w:t>
      </w:r>
      <w:r w:rsidRPr="000C5CA4">
        <w:rPr>
          <w:sz w:val="22"/>
          <w:szCs w:val="20"/>
        </w:rPr>
        <w:t xml:space="preserve"> je neophodno sredstvo koje podrazumijeva poštivanje načela ravnopravnosti spolova tokom pripreme budžeta, te raspodjele i dodjele finansijskih resursa. Rodno budžetiranje predstavlja sagledavanje javnih politika na svim nivoima budžetskog procesa i restrukturiranje prihoda i rashoda kako bi se uzele u obzir potrebe i prioriteti različitih grupa žena i muškaraca imajući u vidu njihove različite uloge u porodici, ekonomiji i društvu. Rodno budžetiranje uključuje dva osnovna koraka: rodnu analizu budžeta i njeno provođenje kroz preraspodjelu budžeta. Rodnom analizom budžeta razvrstavaju se troškovi i prihodi naspram njihovog različitog utjecaja na žene i muškarce i time se uočavaju mjesta gdje su sakupljanje i distribucija javnog novca nepravedni.</w:t>
      </w:r>
    </w:p>
    <w:p w14:paraId="4C02B0F5" w14:textId="6899332D" w:rsidR="001576AD" w:rsidRDefault="001576AD" w:rsidP="001576AD">
      <w:pPr>
        <w:widowControl/>
        <w:tabs>
          <w:tab w:val="clear" w:pos="5103"/>
        </w:tabs>
        <w:autoSpaceDE/>
        <w:autoSpaceDN/>
        <w:spacing w:line="240" w:lineRule="auto"/>
        <w:ind w:right="0"/>
        <w:jc w:val="left"/>
        <w:rPr>
          <w:rFonts w:ascii="Times New Roman" w:eastAsia="Times New Roman" w:hAnsi="Times New Roman"/>
          <w:szCs w:val="24"/>
          <w:lang w:val="en-GB" w:eastAsia="en-US"/>
        </w:rPr>
      </w:pPr>
      <w:r w:rsidRPr="001576AD">
        <w:rPr>
          <w:rFonts w:ascii="Times New Roman" w:eastAsia="Times New Roman" w:hAnsi="Times New Roman"/>
          <w:szCs w:val="24"/>
          <w:lang w:val="en-GB" w:eastAsia="en-US"/>
        </w:rPr>
        <w:t xml:space="preserve">     </w:t>
      </w:r>
    </w:p>
    <w:p w14:paraId="6AE7E5EE" w14:textId="7AE970CC" w:rsidR="00F33FAD" w:rsidRPr="00F33FAD" w:rsidRDefault="00F33FAD" w:rsidP="00F33FAD">
      <w:pPr>
        <w:widowControl/>
        <w:tabs>
          <w:tab w:val="clear" w:pos="5103"/>
        </w:tabs>
        <w:autoSpaceDE/>
        <w:autoSpaceDN/>
        <w:spacing w:line="240" w:lineRule="auto"/>
        <w:ind w:right="0"/>
        <w:jc w:val="left"/>
        <w:rPr>
          <w:rFonts w:ascii="Cambria" w:eastAsia="Times New Roman" w:hAnsi="Cambria"/>
          <w:szCs w:val="24"/>
          <w:lang w:val="en-GB" w:eastAsia="en-US"/>
        </w:rPr>
      </w:pPr>
      <w:r w:rsidRPr="00F33FAD">
        <w:rPr>
          <w:rFonts w:ascii="Cambria" w:eastAsia="Times New Roman" w:hAnsi="Cambria"/>
          <w:szCs w:val="24"/>
          <w:lang w:val="en-GB" w:eastAsia="en-US"/>
        </w:rPr>
        <w:t>Članovi Koordinacionog tima za praćenje realizacije Gender akcionog plana TK za period 2021.do 2024. godina:</w:t>
      </w:r>
    </w:p>
    <w:p w14:paraId="1540B38D" w14:textId="77777777" w:rsidR="00CD2EB6" w:rsidRDefault="00CD2EB6" w:rsidP="00F33FAD">
      <w:pPr>
        <w:widowControl/>
        <w:tabs>
          <w:tab w:val="clear" w:pos="5103"/>
        </w:tabs>
        <w:autoSpaceDE/>
        <w:autoSpaceDN/>
        <w:spacing w:line="240" w:lineRule="auto"/>
        <w:ind w:right="0"/>
        <w:jc w:val="left"/>
        <w:rPr>
          <w:rFonts w:ascii="Cambria" w:eastAsia="Times New Roman" w:hAnsi="Cambria"/>
          <w:szCs w:val="24"/>
          <w:lang w:eastAsia="en-US"/>
        </w:rPr>
      </w:pPr>
    </w:p>
    <w:p w14:paraId="14EE81A6" w14:textId="0FE5FF2D" w:rsidR="00F33FAD" w:rsidRPr="00F33FAD" w:rsidRDefault="00F33FAD" w:rsidP="00F33FAD">
      <w:pPr>
        <w:widowControl/>
        <w:tabs>
          <w:tab w:val="clear" w:pos="5103"/>
        </w:tabs>
        <w:autoSpaceDE/>
        <w:autoSpaceDN/>
        <w:spacing w:line="240" w:lineRule="auto"/>
        <w:ind w:right="0"/>
        <w:jc w:val="left"/>
        <w:rPr>
          <w:rFonts w:ascii="Cambria" w:eastAsia="Times New Roman" w:hAnsi="Cambria"/>
          <w:bCs/>
          <w:szCs w:val="24"/>
          <w:lang w:eastAsia="en-US"/>
        </w:rPr>
      </w:pPr>
      <w:r w:rsidRPr="00F33FAD">
        <w:rPr>
          <w:rFonts w:ascii="Cambria" w:eastAsia="Times New Roman" w:hAnsi="Cambria"/>
          <w:szCs w:val="24"/>
          <w:lang w:eastAsia="en-US"/>
        </w:rPr>
        <w:t xml:space="preserve">Nermina Čeliković, </w:t>
      </w:r>
      <w:r w:rsidRPr="00F33FAD">
        <w:rPr>
          <w:rFonts w:ascii="Cambria" w:eastAsia="Times New Roman" w:hAnsi="Cambria"/>
          <w:bCs/>
          <w:szCs w:val="24"/>
          <w:lang w:eastAsia="en-US"/>
        </w:rPr>
        <w:t>Ministarstvo zdravstva Tuzlanskog kantona,</w:t>
      </w:r>
    </w:p>
    <w:p w14:paraId="5D6CC5A2" w14:textId="1C48DA6F" w:rsidR="00F33FAD" w:rsidRPr="00F33FAD" w:rsidRDefault="00F33FAD" w:rsidP="00F33FAD">
      <w:pPr>
        <w:widowControl/>
        <w:tabs>
          <w:tab w:val="clear" w:pos="5103"/>
        </w:tabs>
        <w:autoSpaceDE/>
        <w:autoSpaceDN/>
        <w:spacing w:line="240" w:lineRule="auto"/>
        <w:ind w:right="0"/>
        <w:jc w:val="left"/>
        <w:rPr>
          <w:rFonts w:ascii="Cambria" w:eastAsia="Times New Roman" w:hAnsi="Cambria"/>
          <w:szCs w:val="24"/>
          <w:lang w:eastAsia="en-US"/>
        </w:rPr>
      </w:pPr>
      <w:r w:rsidRPr="00F33FAD">
        <w:rPr>
          <w:rFonts w:ascii="Cambria" w:eastAsia="Times New Roman" w:hAnsi="Cambria"/>
          <w:bCs/>
          <w:szCs w:val="24"/>
          <w:lang w:eastAsia="en-US"/>
        </w:rPr>
        <w:t xml:space="preserve">Suada Selimović, Ministarstvo za rad, socijalnu politiku i povratak TK, </w:t>
      </w:r>
    </w:p>
    <w:p w14:paraId="0152DAAE" w14:textId="057B29CF" w:rsidR="00F33FAD" w:rsidRPr="00F33FAD" w:rsidRDefault="00F33FAD" w:rsidP="00F33FAD">
      <w:pPr>
        <w:widowControl/>
        <w:tabs>
          <w:tab w:val="clear" w:pos="5103"/>
        </w:tabs>
        <w:autoSpaceDE/>
        <w:autoSpaceDN/>
        <w:spacing w:line="240" w:lineRule="auto"/>
        <w:ind w:right="0"/>
        <w:jc w:val="left"/>
        <w:rPr>
          <w:rFonts w:ascii="Cambria" w:eastAsia="Times New Roman" w:hAnsi="Cambria"/>
          <w:bCs/>
          <w:szCs w:val="24"/>
          <w:lang w:eastAsia="en-US"/>
        </w:rPr>
      </w:pPr>
      <w:r w:rsidRPr="00F33FAD">
        <w:rPr>
          <w:rFonts w:ascii="Cambria" w:eastAsia="Times New Roman" w:hAnsi="Cambria"/>
          <w:szCs w:val="24"/>
          <w:lang w:eastAsia="en-US"/>
        </w:rPr>
        <w:t xml:space="preserve">Dženita Bešić,  </w:t>
      </w:r>
      <w:r w:rsidRPr="00F33FAD">
        <w:rPr>
          <w:rFonts w:ascii="Cambria" w:eastAsia="Times New Roman" w:hAnsi="Cambria"/>
          <w:bCs/>
          <w:szCs w:val="24"/>
          <w:lang w:eastAsia="en-US"/>
        </w:rPr>
        <w:t>Ministarsvo finansija Tuzlanskog kantona,</w:t>
      </w:r>
    </w:p>
    <w:p w14:paraId="1DA1837B" w14:textId="60FF901C" w:rsidR="00F33FAD" w:rsidRPr="00F33FAD" w:rsidRDefault="00F33FAD" w:rsidP="00F33FAD">
      <w:pPr>
        <w:widowControl/>
        <w:tabs>
          <w:tab w:val="clear" w:pos="5103"/>
        </w:tabs>
        <w:autoSpaceDE/>
        <w:autoSpaceDN/>
        <w:spacing w:line="240" w:lineRule="auto"/>
        <w:ind w:right="0"/>
        <w:jc w:val="left"/>
        <w:rPr>
          <w:rFonts w:ascii="Cambria" w:eastAsia="Times New Roman" w:hAnsi="Cambria"/>
          <w:szCs w:val="24"/>
          <w:lang w:eastAsia="en-US"/>
        </w:rPr>
      </w:pPr>
      <w:r w:rsidRPr="00F33FAD">
        <w:rPr>
          <w:rFonts w:ascii="Cambria" w:eastAsia="Times New Roman" w:hAnsi="Cambria"/>
          <w:szCs w:val="24"/>
          <w:lang w:eastAsia="en-US"/>
        </w:rPr>
        <w:t xml:space="preserve">Jasmina Đulović, </w:t>
      </w:r>
      <w:r w:rsidRPr="00F33FAD">
        <w:rPr>
          <w:rFonts w:ascii="Cambria" w:eastAsia="Times New Roman" w:hAnsi="Cambria"/>
          <w:bCs/>
          <w:szCs w:val="24"/>
          <w:lang w:eastAsia="en-US"/>
        </w:rPr>
        <w:t xml:space="preserve">Ministarstvo unutrašnjih poslova Tuzlanskog kantona, </w:t>
      </w:r>
    </w:p>
    <w:p w14:paraId="1E916D89" w14:textId="17D1D3D0" w:rsidR="00F33FAD" w:rsidRPr="00F33FAD" w:rsidRDefault="00CD2EB6" w:rsidP="00F33FAD">
      <w:pPr>
        <w:widowControl/>
        <w:tabs>
          <w:tab w:val="clear" w:pos="5103"/>
        </w:tabs>
        <w:autoSpaceDE/>
        <w:autoSpaceDN/>
        <w:spacing w:line="240" w:lineRule="auto"/>
        <w:ind w:right="0"/>
        <w:jc w:val="left"/>
        <w:rPr>
          <w:rFonts w:ascii="Cambria" w:eastAsia="Times New Roman" w:hAnsi="Cambria"/>
          <w:bCs/>
          <w:szCs w:val="24"/>
          <w:lang w:eastAsia="en-US"/>
        </w:rPr>
      </w:pPr>
      <w:r w:rsidRPr="00CD2EB6">
        <w:rPr>
          <w:rFonts w:ascii="Cambria" w:eastAsia="Times New Roman" w:hAnsi="Cambria"/>
          <w:bCs/>
          <w:color w:val="000000" w:themeColor="text1"/>
          <w:szCs w:val="24"/>
          <w:lang w:eastAsia="en-US"/>
        </w:rPr>
        <w:t>Amela Mehmedović</w:t>
      </w:r>
      <w:r w:rsidR="00F33FAD" w:rsidRPr="00F33FAD">
        <w:rPr>
          <w:rFonts w:ascii="Cambria" w:eastAsia="Times New Roman" w:hAnsi="Cambria"/>
          <w:bCs/>
          <w:szCs w:val="24"/>
          <w:lang w:eastAsia="en-US"/>
        </w:rPr>
        <w:t>, Ministarstvo za kulturu, sport i mlade</w:t>
      </w:r>
      <w:r>
        <w:rPr>
          <w:rFonts w:ascii="Cambria" w:eastAsia="Times New Roman" w:hAnsi="Cambria"/>
          <w:bCs/>
          <w:szCs w:val="24"/>
          <w:lang w:eastAsia="en-US"/>
        </w:rPr>
        <w:t xml:space="preserve"> TK</w:t>
      </w:r>
      <w:r w:rsidR="00F33FAD" w:rsidRPr="00F33FAD">
        <w:rPr>
          <w:rFonts w:ascii="Cambria" w:eastAsia="Times New Roman" w:hAnsi="Cambria"/>
          <w:bCs/>
          <w:szCs w:val="24"/>
          <w:lang w:eastAsia="en-US"/>
        </w:rPr>
        <w:t>,</w:t>
      </w:r>
    </w:p>
    <w:p w14:paraId="584E00E5" w14:textId="433A347F" w:rsidR="00F33FAD" w:rsidRPr="00F33FAD" w:rsidRDefault="00F33FAD" w:rsidP="00F33FAD">
      <w:pPr>
        <w:widowControl/>
        <w:tabs>
          <w:tab w:val="clear" w:pos="5103"/>
        </w:tabs>
        <w:autoSpaceDE/>
        <w:autoSpaceDN/>
        <w:spacing w:line="240" w:lineRule="auto"/>
        <w:ind w:right="0"/>
        <w:jc w:val="left"/>
        <w:rPr>
          <w:rFonts w:ascii="Cambria" w:eastAsia="Times New Roman" w:hAnsi="Cambria"/>
          <w:szCs w:val="24"/>
          <w:lang w:eastAsia="en-US"/>
        </w:rPr>
      </w:pPr>
      <w:r w:rsidRPr="00F33FAD">
        <w:rPr>
          <w:rFonts w:ascii="Cambria" w:eastAsia="Times New Roman" w:hAnsi="Cambria"/>
          <w:szCs w:val="24"/>
          <w:lang w:eastAsia="en-US"/>
        </w:rPr>
        <w:t>Emir Tukić,</w:t>
      </w:r>
      <w:r w:rsidRPr="00F33FAD">
        <w:rPr>
          <w:rFonts w:ascii="Cambria" w:eastAsia="Times New Roman" w:hAnsi="Cambria"/>
          <w:bCs/>
          <w:szCs w:val="24"/>
          <w:lang w:eastAsia="en-US"/>
        </w:rPr>
        <w:t xml:space="preserve"> Ministarstvo obrazovanja i nauke Tuzlanskog kantona,</w:t>
      </w:r>
    </w:p>
    <w:p w14:paraId="6B42F05D" w14:textId="713F3E21" w:rsidR="00F33FAD" w:rsidRPr="00F33FAD" w:rsidRDefault="00F33FAD" w:rsidP="00F33FAD">
      <w:pPr>
        <w:widowControl/>
        <w:tabs>
          <w:tab w:val="clear" w:pos="5103"/>
        </w:tabs>
        <w:autoSpaceDE/>
        <w:autoSpaceDN/>
        <w:spacing w:line="240" w:lineRule="auto"/>
        <w:ind w:right="0"/>
        <w:jc w:val="left"/>
        <w:rPr>
          <w:rFonts w:ascii="Cambria" w:eastAsia="Times New Roman" w:hAnsi="Cambria"/>
          <w:szCs w:val="24"/>
          <w:lang w:eastAsia="en-US"/>
        </w:rPr>
      </w:pPr>
      <w:r>
        <w:rPr>
          <w:rFonts w:ascii="Cambria" w:eastAsia="Times New Roman" w:hAnsi="Cambria"/>
          <w:szCs w:val="24"/>
          <w:lang w:eastAsia="en-US"/>
        </w:rPr>
        <w:t>Mirela Tuzlak</w:t>
      </w:r>
      <w:r w:rsidRPr="00F33FAD">
        <w:rPr>
          <w:rFonts w:ascii="Cambria" w:eastAsia="Times New Roman" w:hAnsi="Cambria"/>
          <w:szCs w:val="24"/>
          <w:lang w:eastAsia="en-US"/>
        </w:rPr>
        <w:t>,</w:t>
      </w:r>
      <w:r w:rsidRPr="00F33FAD">
        <w:rPr>
          <w:rFonts w:ascii="Cambria" w:eastAsia="Times New Roman" w:hAnsi="Cambria"/>
          <w:bCs/>
          <w:szCs w:val="24"/>
          <w:lang w:eastAsia="en-US"/>
        </w:rPr>
        <w:t xml:space="preserve"> Ministarsvo pravosuđa i uprave Tuzlanskog kantona,</w:t>
      </w:r>
    </w:p>
    <w:p w14:paraId="19184C36" w14:textId="13C5BB49" w:rsidR="00F33FAD" w:rsidRPr="00F33FAD" w:rsidRDefault="002543E7" w:rsidP="00F33FAD">
      <w:pPr>
        <w:widowControl/>
        <w:tabs>
          <w:tab w:val="clear" w:pos="5103"/>
        </w:tabs>
        <w:autoSpaceDE/>
        <w:autoSpaceDN/>
        <w:spacing w:line="240" w:lineRule="auto"/>
        <w:ind w:right="0"/>
        <w:jc w:val="left"/>
        <w:rPr>
          <w:rFonts w:ascii="Cambria" w:eastAsia="Times New Roman" w:hAnsi="Cambria"/>
          <w:bCs/>
          <w:szCs w:val="24"/>
          <w:lang w:eastAsia="en-US"/>
        </w:rPr>
      </w:pPr>
      <w:r>
        <w:rPr>
          <w:rFonts w:ascii="Cambria" w:eastAsia="Times New Roman" w:hAnsi="Cambria"/>
          <w:szCs w:val="24"/>
          <w:lang w:eastAsia="en-US"/>
        </w:rPr>
        <w:t>Edin Sala</w:t>
      </w:r>
      <w:r w:rsidR="00F33FAD">
        <w:rPr>
          <w:rFonts w:ascii="Cambria" w:eastAsia="Times New Roman" w:hAnsi="Cambria"/>
          <w:szCs w:val="24"/>
          <w:lang w:eastAsia="en-US"/>
        </w:rPr>
        <w:t>mović</w:t>
      </w:r>
      <w:r w:rsidR="00F33FAD" w:rsidRPr="00F33FAD">
        <w:rPr>
          <w:rFonts w:ascii="Cambria" w:eastAsia="Times New Roman" w:hAnsi="Cambria"/>
          <w:szCs w:val="24"/>
          <w:lang w:eastAsia="en-US"/>
        </w:rPr>
        <w:t>,</w:t>
      </w:r>
      <w:r w:rsidR="00F33FAD" w:rsidRPr="00F33FAD">
        <w:rPr>
          <w:rFonts w:ascii="Cambria" w:eastAsia="Times New Roman" w:hAnsi="Cambria"/>
          <w:bCs/>
          <w:szCs w:val="24"/>
          <w:lang w:eastAsia="en-US"/>
        </w:rPr>
        <w:t xml:space="preserve"> Ministarstvo privrede Tuzlanskog kantona,</w:t>
      </w:r>
    </w:p>
    <w:p w14:paraId="759E3927" w14:textId="4A14AC19" w:rsidR="00F33FAD" w:rsidRPr="00F33FAD" w:rsidRDefault="00F33FAD" w:rsidP="00F33FAD">
      <w:pPr>
        <w:widowControl/>
        <w:tabs>
          <w:tab w:val="clear" w:pos="5103"/>
        </w:tabs>
        <w:autoSpaceDE/>
        <w:autoSpaceDN/>
        <w:spacing w:line="240" w:lineRule="auto"/>
        <w:ind w:right="0"/>
        <w:jc w:val="left"/>
        <w:rPr>
          <w:rFonts w:ascii="Cambria" w:eastAsia="Times New Roman" w:hAnsi="Cambria"/>
          <w:bCs/>
          <w:szCs w:val="24"/>
          <w:lang w:eastAsia="en-US"/>
        </w:rPr>
      </w:pPr>
      <w:r w:rsidRPr="00F33FAD">
        <w:rPr>
          <w:rFonts w:ascii="Cambria" w:eastAsia="Times New Roman" w:hAnsi="Cambria"/>
          <w:szCs w:val="24"/>
          <w:lang w:eastAsia="en-US"/>
        </w:rPr>
        <w:t>Edisa Jajčanin,</w:t>
      </w:r>
      <w:r w:rsidRPr="00F33FAD">
        <w:rPr>
          <w:rFonts w:ascii="Cambria" w:eastAsia="Times New Roman" w:hAnsi="Cambria"/>
          <w:bCs/>
          <w:szCs w:val="24"/>
          <w:lang w:eastAsia="en-US"/>
        </w:rPr>
        <w:t xml:space="preserve"> JU Služba za zapošljavanje Tuzlanskog kantona,</w:t>
      </w:r>
    </w:p>
    <w:p w14:paraId="264D6CD2" w14:textId="31F09A29" w:rsidR="00F33FAD" w:rsidRPr="00F33FAD" w:rsidRDefault="00F33FAD" w:rsidP="00F33FAD">
      <w:pPr>
        <w:widowControl/>
        <w:tabs>
          <w:tab w:val="clear" w:pos="5103"/>
        </w:tabs>
        <w:autoSpaceDE/>
        <w:autoSpaceDN/>
        <w:spacing w:line="240" w:lineRule="auto"/>
        <w:ind w:right="0"/>
        <w:jc w:val="left"/>
        <w:rPr>
          <w:rFonts w:ascii="Cambria" w:eastAsia="Times New Roman" w:hAnsi="Cambria"/>
          <w:bCs/>
          <w:szCs w:val="24"/>
          <w:lang w:eastAsia="en-US"/>
        </w:rPr>
      </w:pPr>
      <w:r w:rsidRPr="00F33FAD">
        <w:rPr>
          <w:rFonts w:ascii="Cambria" w:eastAsia="Times New Roman" w:hAnsi="Cambria"/>
          <w:szCs w:val="24"/>
          <w:lang w:eastAsia="en-US"/>
        </w:rPr>
        <w:t>Selma Mustačević,</w:t>
      </w:r>
      <w:r w:rsidRPr="00F33FAD">
        <w:rPr>
          <w:rFonts w:ascii="Cambria" w:eastAsia="Times New Roman" w:hAnsi="Cambria"/>
          <w:bCs/>
          <w:szCs w:val="24"/>
          <w:lang w:eastAsia="en-US"/>
        </w:rPr>
        <w:t xml:space="preserve"> Udruženje „Amica Educa“.</w:t>
      </w:r>
    </w:p>
    <w:p w14:paraId="2342A74E" w14:textId="77777777" w:rsidR="00F33FAD" w:rsidRDefault="00F33FAD" w:rsidP="00F33FAD">
      <w:pPr>
        <w:widowControl/>
        <w:tabs>
          <w:tab w:val="clear" w:pos="5103"/>
        </w:tabs>
        <w:autoSpaceDE/>
        <w:autoSpaceDN/>
        <w:spacing w:line="240" w:lineRule="auto"/>
        <w:ind w:right="0"/>
        <w:jc w:val="left"/>
        <w:rPr>
          <w:rFonts w:ascii="Cambria" w:eastAsia="Times New Roman" w:hAnsi="Cambria"/>
          <w:szCs w:val="24"/>
          <w:lang w:eastAsia="en-US"/>
        </w:rPr>
      </w:pPr>
    </w:p>
    <w:p w14:paraId="460DB591" w14:textId="5668509D" w:rsidR="002010D8" w:rsidRPr="00F33FAD" w:rsidRDefault="00F33FAD" w:rsidP="00F33FAD">
      <w:pPr>
        <w:widowControl/>
        <w:tabs>
          <w:tab w:val="clear" w:pos="5103"/>
        </w:tabs>
        <w:autoSpaceDE/>
        <w:autoSpaceDN/>
        <w:spacing w:line="240" w:lineRule="auto"/>
        <w:ind w:right="0"/>
        <w:jc w:val="left"/>
        <w:rPr>
          <w:rFonts w:ascii="Cambria" w:eastAsia="Times New Roman" w:hAnsi="Cambria"/>
          <w:szCs w:val="24"/>
          <w:lang w:eastAsia="en-US"/>
        </w:rPr>
      </w:pPr>
      <w:r w:rsidRPr="00F33FAD">
        <w:rPr>
          <w:rFonts w:ascii="Cambria" w:eastAsia="Times New Roman" w:hAnsi="Cambria"/>
          <w:szCs w:val="24"/>
          <w:lang w:eastAsia="en-US"/>
        </w:rPr>
        <w:t>I</w:t>
      </w:r>
      <w:r w:rsidR="002010D8" w:rsidRPr="00F33FAD">
        <w:rPr>
          <w:rFonts w:ascii="Cambria" w:eastAsia="Times New Roman" w:hAnsi="Cambria"/>
          <w:szCs w:val="24"/>
          <w:lang w:eastAsia="en-US"/>
        </w:rPr>
        <w:t>zradu GAP-a  i rad Koordinacionog</w:t>
      </w:r>
      <w:r w:rsidRPr="00F33FAD">
        <w:rPr>
          <w:rFonts w:ascii="Cambria" w:eastAsia="Times New Roman" w:hAnsi="Cambria"/>
          <w:szCs w:val="24"/>
          <w:lang w:eastAsia="en-US"/>
        </w:rPr>
        <w:t xml:space="preserve"> tima </w:t>
      </w:r>
      <w:r w:rsidR="002010D8" w:rsidRPr="00F33FAD">
        <w:rPr>
          <w:rFonts w:ascii="Cambria" w:eastAsia="Times New Roman" w:hAnsi="Cambria"/>
          <w:szCs w:val="24"/>
          <w:lang w:eastAsia="en-US"/>
        </w:rPr>
        <w:t xml:space="preserve"> podržao je Gender Centar FBiH</w:t>
      </w:r>
    </w:p>
    <w:p w14:paraId="0F10FA46" w14:textId="77777777" w:rsidR="002010D8" w:rsidRPr="00F33FAD" w:rsidRDefault="002010D8" w:rsidP="001576AD">
      <w:pPr>
        <w:widowControl/>
        <w:tabs>
          <w:tab w:val="clear" w:pos="5103"/>
        </w:tabs>
        <w:autoSpaceDE/>
        <w:autoSpaceDN/>
        <w:spacing w:line="240" w:lineRule="auto"/>
        <w:ind w:right="0"/>
        <w:jc w:val="left"/>
        <w:rPr>
          <w:rFonts w:ascii="Cambria" w:eastAsia="Times New Roman" w:hAnsi="Cambria"/>
          <w:szCs w:val="24"/>
          <w:lang w:val="en-GB" w:eastAsia="en-US"/>
        </w:rPr>
      </w:pPr>
    </w:p>
    <w:p w14:paraId="79E7BAA3" w14:textId="77777777" w:rsidR="00CD2EB6" w:rsidRDefault="001576AD" w:rsidP="001576AD">
      <w:pPr>
        <w:widowControl/>
        <w:tabs>
          <w:tab w:val="clear" w:pos="5103"/>
        </w:tabs>
        <w:autoSpaceDE/>
        <w:autoSpaceDN/>
        <w:spacing w:line="240" w:lineRule="auto"/>
        <w:ind w:right="0"/>
        <w:jc w:val="left"/>
        <w:rPr>
          <w:rFonts w:ascii="Cambria" w:eastAsia="Times New Roman" w:hAnsi="Cambria"/>
          <w:szCs w:val="24"/>
          <w:lang w:val="en-GB" w:eastAsia="en-US"/>
        </w:rPr>
      </w:pPr>
      <w:r w:rsidRPr="00F33FAD">
        <w:rPr>
          <w:rFonts w:ascii="Cambria" w:eastAsia="Times New Roman" w:hAnsi="Cambria"/>
          <w:szCs w:val="24"/>
          <w:lang w:val="en-GB" w:eastAsia="en-US"/>
        </w:rPr>
        <w:t xml:space="preserve">  </w:t>
      </w:r>
    </w:p>
    <w:p w14:paraId="6E34EF1A" w14:textId="5E52552C" w:rsidR="00CD2EB6" w:rsidRDefault="001576AD" w:rsidP="001576AD">
      <w:pPr>
        <w:widowControl/>
        <w:tabs>
          <w:tab w:val="clear" w:pos="5103"/>
        </w:tabs>
        <w:autoSpaceDE/>
        <w:autoSpaceDN/>
        <w:spacing w:line="240" w:lineRule="auto"/>
        <w:ind w:right="0"/>
        <w:jc w:val="left"/>
        <w:rPr>
          <w:rFonts w:ascii="Cambria" w:eastAsia="Times New Roman" w:hAnsi="Cambria"/>
          <w:szCs w:val="24"/>
          <w:lang w:val="en-GB" w:eastAsia="en-US"/>
        </w:rPr>
      </w:pPr>
      <w:r w:rsidRPr="00F33FAD">
        <w:rPr>
          <w:rFonts w:ascii="Cambria" w:eastAsia="Times New Roman" w:hAnsi="Cambria"/>
          <w:szCs w:val="24"/>
          <w:lang w:val="en-GB" w:eastAsia="en-US"/>
        </w:rPr>
        <w:t xml:space="preserve"> ZA KOORDINACIONI </w:t>
      </w:r>
      <w:r w:rsidR="00F33FAD" w:rsidRPr="00F33FAD">
        <w:rPr>
          <w:rFonts w:ascii="Cambria" w:eastAsia="Times New Roman" w:hAnsi="Cambria"/>
          <w:szCs w:val="24"/>
          <w:lang w:val="en-GB" w:eastAsia="en-US"/>
        </w:rPr>
        <w:t>TIM</w:t>
      </w:r>
    </w:p>
    <w:p w14:paraId="131AD7E0" w14:textId="1AC63B55" w:rsidR="001576AD" w:rsidRPr="00F33FAD" w:rsidRDefault="001576AD" w:rsidP="001576AD">
      <w:pPr>
        <w:widowControl/>
        <w:tabs>
          <w:tab w:val="clear" w:pos="5103"/>
        </w:tabs>
        <w:autoSpaceDE/>
        <w:autoSpaceDN/>
        <w:spacing w:line="240" w:lineRule="auto"/>
        <w:ind w:right="0"/>
        <w:jc w:val="left"/>
        <w:rPr>
          <w:rFonts w:ascii="Cambria" w:eastAsia="Times New Roman" w:hAnsi="Cambria"/>
          <w:szCs w:val="24"/>
          <w:lang w:val="en-GB" w:eastAsia="en-US"/>
        </w:rPr>
      </w:pPr>
      <w:r w:rsidRPr="00F33FAD">
        <w:rPr>
          <w:rFonts w:ascii="Cambria" w:eastAsia="Times New Roman" w:hAnsi="Cambria"/>
          <w:szCs w:val="24"/>
          <w:lang w:val="en-GB" w:eastAsia="en-US"/>
        </w:rPr>
        <w:t xml:space="preserve">Doc.dr.sci. Edin Šestan, pomoćnik ministra </w:t>
      </w:r>
    </w:p>
    <w:p w14:paraId="2963BC7B" w14:textId="77777777" w:rsidR="001576AD" w:rsidRPr="00F33FAD" w:rsidRDefault="001576AD" w:rsidP="001576AD">
      <w:pPr>
        <w:widowControl/>
        <w:tabs>
          <w:tab w:val="clear" w:pos="5103"/>
        </w:tabs>
        <w:autoSpaceDE/>
        <w:autoSpaceDN/>
        <w:spacing w:line="240" w:lineRule="auto"/>
        <w:ind w:right="0"/>
        <w:jc w:val="left"/>
        <w:rPr>
          <w:rFonts w:ascii="Cambria" w:eastAsia="Times New Roman" w:hAnsi="Cambria"/>
          <w:szCs w:val="24"/>
          <w:lang w:val="en-GB" w:eastAsia="en-US"/>
        </w:rPr>
      </w:pPr>
    </w:p>
    <w:p w14:paraId="5F18B9AD" w14:textId="49CEBA19" w:rsidR="001576AD" w:rsidRPr="00F33FAD" w:rsidRDefault="001576AD" w:rsidP="001576AD">
      <w:pPr>
        <w:widowControl/>
        <w:tabs>
          <w:tab w:val="clear" w:pos="5103"/>
        </w:tabs>
        <w:autoSpaceDE/>
        <w:autoSpaceDN/>
        <w:spacing w:line="240" w:lineRule="auto"/>
        <w:ind w:right="0"/>
        <w:jc w:val="left"/>
        <w:rPr>
          <w:rFonts w:ascii="Cambria" w:eastAsia="Times New Roman" w:hAnsi="Cambria"/>
          <w:szCs w:val="24"/>
          <w:lang w:val="en-GB" w:eastAsia="en-US"/>
        </w:rPr>
      </w:pPr>
      <w:r w:rsidRPr="00F33FAD">
        <w:rPr>
          <w:rFonts w:ascii="Cambria" w:eastAsia="Times New Roman" w:hAnsi="Cambria"/>
          <w:szCs w:val="24"/>
          <w:lang w:val="en-GB" w:eastAsia="en-US"/>
        </w:rPr>
        <w:t xml:space="preserve">                                             </w:t>
      </w:r>
      <w:r w:rsidR="00F33FAD">
        <w:rPr>
          <w:rFonts w:ascii="Cambria" w:eastAsia="Times New Roman" w:hAnsi="Cambria"/>
          <w:szCs w:val="24"/>
          <w:lang w:val="en-GB" w:eastAsia="en-US"/>
        </w:rPr>
        <w:t xml:space="preserve">                               </w:t>
      </w:r>
      <w:r w:rsidRPr="00F33FAD">
        <w:rPr>
          <w:rFonts w:ascii="Cambria" w:eastAsia="Times New Roman" w:hAnsi="Cambria"/>
          <w:szCs w:val="24"/>
          <w:lang w:val="en-GB" w:eastAsia="en-US"/>
        </w:rPr>
        <w:t xml:space="preserve">                    </w:t>
      </w:r>
      <w:r w:rsidR="00F33FAD">
        <w:rPr>
          <w:rFonts w:ascii="Cambria" w:eastAsia="Times New Roman" w:hAnsi="Cambria"/>
          <w:szCs w:val="24"/>
          <w:lang w:val="en-GB" w:eastAsia="en-US"/>
        </w:rPr>
        <w:t xml:space="preserve"> </w:t>
      </w:r>
    </w:p>
    <w:p w14:paraId="5AE8BF91" w14:textId="2373B721" w:rsidR="001576AD" w:rsidRPr="00CD2EB6" w:rsidRDefault="001576AD" w:rsidP="001576AD">
      <w:pPr>
        <w:widowControl/>
        <w:tabs>
          <w:tab w:val="clear" w:pos="5103"/>
        </w:tabs>
        <w:autoSpaceDE/>
        <w:autoSpaceDN/>
        <w:spacing w:line="240" w:lineRule="auto"/>
        <w:ind w:right="0"/>
        <w:jc w:val="left"/>
        <w:rPr>
          <w:rFonts w:ascii="Cambria" w:eastAsia="Times New Roman" w:hAnsi="Cambria"/>
          <w:b/>
          <w:szCs w:val="24"/>
          <w:lang w:val="en-GB" w:eastAsia="en-US"/>
        </w:rPr>
      </w:pPr>
      <w:r w:rsidRPr="00F33FAD">
        <w:rPr>
          <w:rFonts w:ascii="Cambria" w:eastAsia="Times New Roman" w:hAnsi="Cambria"/>
          <w:szCs w:val="24"/>
          <w:lang w:val="en-GB" w:eastAsia="en-US"/>
        </w:rPr>
        <w:t xml:space="preserve">                                                                                                   </w:t>
      </w:r>
      <w:r w:rsidR="00F33FAD">
        <w:rPr>
          <w:rFonts w:ascii="Cambria" w:eastAsia="Times New Roman" w:hAnsi="Cambria"/>
          <w:szCs w:val="24"/>
          <w:lang w:val="en-GB" w:eastAsia="en-US"/>
        </w:rPr>
        <w:t xml:space="preserve">             </w:t>
      </w:r>
      <w:r w:rsidRPr="00F33FAD">
        <w:rPr>
          <w:rFonts w:ascii="Cambria" w:eastAsia="Times New Roman" w:hAnsi="Cambria"/>
          <w:szCs w:val="24"/>
          <w:lang w:val="en-GB" w:eastAsia="en-US"/>
        </w:rPr>
        <w:t xml:space="preserve"> </w:t>
      </w:r>
      <w:r w:rsidRPr="00CD2EB6">
        <w:rPr>
          <w:rFonts w:ascii="Cambria" w:eastAsia="Times New Roman" w:hAnsi="Cambria"/>
          <w:b/>
          <w:color w:val="000000" w:themeColor="text1"/>
          <w:szCs w:val="24"/>
          <w:lang w:val="en-GB" w:eastAsia="en-US"/>
        </w:rPr>
        <w:t>M I N I S T A R</w:t>
      </w:r>
      <w:r w:rsidRPr="00CD2EB6">
        <w:rPr>
          <w:rFonts w:ascii="Cambria" w:eastAsia="Times New Roman" w:hAnsi="Cambria"/>
          <w:b/>
          <w:szCs w:val="24"/>
          <w:lang w:val="en-GB" w:eastAsia="en-US"/>
        </w:rPr>
        <w:t xml:space="preserve"> </w:t>
      </w:r>
    </w:p>
    <w:p w14:paraId="50D94412" w14:textId="7FC5B233" w:rsidR="001576AD" w:rsidRPr="00F33FAD" w:rsidRDefault="001576AD" w:rsidP="001576AD">
      <w:pPr>
        <w:widowControl/>
        <w:tabs>
          <w:tab w:val="clear" w:pos="5103"/>
        </w:tabs>
        <w:autoSpaceDE/>
        <w:autoSpaceDN/>
        <w:spacing w:line="240" w:lineRule="auto"/>
        <w:ind w:right="0"/>
        <w:jc w:val="left"/>
        <w:rPr>
          <w:rFonts w:ascii="Cambria" w:eastAsia="Times New Roman" w:hAnsi="Cambria"/>
          <w:szCs w:val="24"/>
          <w:lang w:val="en-GB" w:eastAsia="en-US"/>
        </w:rPr>
      </w:pPr>
      <w:r w:rsidRPr="00F33FAD">
        <w:rPr>
          <w:rFonts w:ascii="Cambria" w:eastAsia="Times New Roman" w:hAnsi="Cambria"/>
          <w:szCs w:val="24"/>
          <w:lang w:val="en-GB" w:eastAsia="en-US"/>
        </w:rPr>
        <w:t xml:space="preserve">                                                                                                    </w:t>
      </w:r>
      <w:r w:rsidR="00F33FAD">
        <w:rPr>
          <w:rFonts w:ascii="Cambria" w:eastAsia="Times New Roman" w:hAnsi="Cambria"/>
          <w:szCs w:val="24"/>
          <w:lang w:val="en-GB" w:eastAsia="en-US"/>
        </w:rPr>
        <w:t xml:space="preserve">          </w:t>
      </w:r>
      <w:r w:rsidRPr="00F33FAD">
        <w:rPr>
          <w:rFonts w:ascii="Cambria" w:eastAsia="Times New Roman" w:hAnsi="Cambria"/>
          <w:szCs w:val="24"/>
          <w:lang w:val="en-GB" w:eastAsia="en-US"/>
        </w:rPr>
        <w:t xml:space="preserve">  </w:t>
      </w:r>
      <w:r w:rsidR="00CD2EB6">
        <w:rPr>
          <w:rFonts w:ascii="Cambria" w:eastAsia="Times New Roman" w:hAnsi="Cambria"/>
          <w:szCs w:val="24"/>
          <w:lang w:val="en-GB" w:eastAsia="en-US"/>
        </w:rPr>
        <w:t xml:space="preserve">  </w:t>
      </w:r>
      <w:r w:rsidRPr="00F33FAD">
        <w:rPr>
          <w:rFonts w:ascii="Cambria" w:eastAsia="Times New Roman" w:hAnsi="Cambria"/>
          <w:szCs w:val="24"/>
          <w:lang w:val="en-GB" w:eastAsia="en-US"/>
        </w:rPr>
        <w:t xml:space="preserve">    Fadil Alić</w:t>
      </w:r>
    </w:p>
    <w:p w14:paraId="77305D1C" w14:textId="77777777" w:rsidR="00240C0D" w:rsidRPr="000C5CA4" w:rsidRDefault="00240C0D" w:rsidP="00672AC4">
      <w:pPr>
        <w:pStyle w:val="Heading1"/>
        <w:numPr>
          <w:ilvl w:val="0"/>
          <w:numId w:val="0"/>
        </w:numPr>
        <w:rPr>
          <w:sz w:val="22"/>
          <w:szCs w:val="22"/>
        </w:rPr>
      </w:pPr>
    </w:p>
    <w:sectPr w:rsidR="00240C0D" w:rsidRPr="000C5CA4" w:rsidSect="00346F2F">
      <w:pgSz w:w="11910" w:h="16840"/>
      <w:pgMar w:top="1440" w:right="1440" w:bottom="1440" w:left="1440" w:header="0" w:footer="100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72DAF" w14:textId="77777777" w:rsidR="001D7A50" w:rsidRDefault="001D7A50" w:rsidP="00B51070">
      <w:r>
        <w:separator/>
      </w:r>
    </w:p>
  </w:endnote>
  <w:endnote w:type="continuationSeparator" w:id="0">
    <w:p w14:paraId="0508C9D9" w14:textId="77777777" w:rsidR="001D7A50" w:rsidRDefault="001D7A50" w:rsidP="00B51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6"/>
      </w:rPr>
      <w:id w:val="785312271"/>
      <w:docPartObj>
        <w:docPartGallery w:val="Page Numbers (Bottom of Page)"/>
        <w:docPartUnique/>
      </w:docPartObj>
    </w:sdtPr>
    <w:sdtEndPr>
      <w:rPr>
        <w:noProof/>
      </w:rPr>
    </w:sdtEndPr>
    <w:sdtContent>
      <w:p w14:paraId="272CDE5A" w14:textId="4C70A7EE" w:rsidR="000C5CA4" w:rsidRPr="000C5CA4" w:rsidRDefault="000C5CA4" w:rsidP="000C5CA4">
        <w:pPr>
          <w:pStyle w:val="Footer"/>
          <w:jc w:val="center"/>
          <w:rPr>
            <w:sz w:val="18"/>
            <w:szCs w:val="16"/>
          </w:rPr>
        </w:pPr>
        <w:r w:rsidRPr="000C5CA4">
          <w:rPr>
            <w:sz w:val="18"/>
            <w:szCs w:val="16"/>
          </w:rPr>
          <w:fldChar w:fldCharType="begin"/>
        </w:r>
        <w:r w:rsidRPr="000C5CA4">
          <w:rPr>
            <w:sz w:val="18"/>
            <w:szCs w:val="16"/>
          </w:rPr>
          <w:instrText xml:space="preserve"> PAGE   \* MERGEFORMAT </w:instrText>
        </w:r>
        <w:r w:rsidRPr="000C5CA4">
          <w:rPr>
            <w:sz w:val="18"/>
            <w:szCs w:val="16"/>
          </w:rPr>
          <w:fldChar w:fldCharType="separate"/>
        </w:r>
        <w:r w:rsidR="00B03B2F">
          <w:rPr>
            <w:noProof/>
            <w:sz w:val="18"/>
            <w:szCs w:val="16"/>
          </w:rPr>
          <w:t>21</w:t>
        </w:r>
        <w:r w:rsidRPr="000C5CA4">
          <w:rPr>
            <w:noProof/>
            <w:sz w:val="18"/>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F5BB8" w14:textId="2A132A73" w:rsidR="001475D3" w:rsidRPr="001475D3" w:rsidRDefault="001475D3" w:rsidP="001475D3">
    <w:pPr>
      <w:pStyle w:val="Footer"/>
      <w:rPr>
        <w:sz w:val="20"/>
        <w:szCs w:val="18"/>
      </w:rPr>
    </w:pPr>
    <w:r w:rsidRPr="001475D3">
      <w:rPr>
        <w:rFonts w:eastAsia="Times New Roman"/>
        <w:noProof/>
        <w:sz w:val="20"/>
        <w:szCs w:val="20"/>
        <w:lang w:eastAsia="bs-Latn-BA"/>
      </w:rPr>
      <w:drawing>
        <wp:anchor distT="0" distB="0" distL="114300" distR="114300" simplePos="0" relativeHeight="251658240" behindDoc="1" locked="0" layoutInCell="1" allowOverlap="1" wp14:anchorId="2190453D" wp14:editId="7047C1AB">
          <wp:simplePos x="0" y="0"/>
          <wp:positionH relativeFrom="margin">
            <wp:posOffset>-431800</wp:posOffset>
          </wp:positionH>
          <wp:positionV relativeFrom="paragraph">
            <wp:posOffset>-116840</wp:posOffset>
          </wp:positionV>
          <wp:extent cx="965835" cy="806450"/>
          <wp:effectExtent l="0" t="0" r="5715" b="0"/>
          <wp:wrapTight wrapText="bothSides">
            <wp:wrapPolygon edited="0">
              <wp:start x="0" y="0"/>
              <wp:lineTo x="0" y="20920"/>
              <wp:lineTo x="21302" y="20920"/>
              <wp:lineTo x="21302" y="0"/>
              <wp:lineTo x="0" y="0"/>
            </wp:wrapPolygon>
          </wp:wrapTight>
          <wp:docPr id="4066863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5835"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75D3">
      <w:rPr>
        <w:sz w:val="20"/>
        <w:szCs w:val="18"/>
      </w:rPr>
      <w:t>Izradu Gender akcionog plana finasirala je Europska unija.</w:t>
    </w:r>
  </w:p>
  <w:p w14:paraId="3A928BA4" w14:textId="2E7408D0" w:rsidR="001475D3" w:rsidRPr="001475D3" w:rsidRDefault="001475D3" w:rsidP="001475D3">
    <w:pPr>
      <w:pStyle w:val="Footer"/>
      <w:rPr>
        <w:sz w:val="20"/>
        <w:szCs w:val="18"/>
      </w:rPr>
    </w:pPr>
    <w:r w:rsidRPr="001475D3">
      <w:rPr>
        <w:sz w:val="20"/>
        <w:szCs w:val="18"/>
      </w:rPr>
      <w:t>Sadržaj Izvještaja je isključiva odgovornost Vlade Tuzlanskog kantona i ne održava nužno stajališta Europske unije.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6CD75" w14:textId="77777777" w:rsidR="001D7A50" w:rsidRDefault="001D7A50" w:rsidP="00B51070">
      <w:r>
        <w:separator/>
      </w:r>
    </w:p>
  </w:footnote>
  <w:footnote w:type="continuationSeparator" w:id="0">
    <w:p w14:paraId="7ADD9F1F" w14:textId="77777777" w:rsidR="001D7A50" w:rsidRDefault="001D7A50" w:rsidP="00B51070">
      <w:r>
        <w:continuationSeparator/>
      </w:r>
    </w:p>
  </w:footnote>
  <w:footnote w:id="1">
    <w:p w14:paraId="03F56BB7" w14:textId="77777777" w:rsidR="008415B2" w:rsidRPr="000C5CA4" w:rsidRDefault="008415B2" w:rsidP="00B51070">
      <w:pPr>
        <w:pStyle w:val="FootnoteText"/>
        <w:rPr>
          <w:sz w:val="18"/>
          <w:szCs w:val="18"/>
        </w:rPr>
      </w:pPr>
      <w:r w:rsidRPr="000C5CA4">
        <w:rPr>
          <w:rStyle w:val="FootnoteReference"/>
          <w:sz w:val="16"/>
          <w:szCs w:val="16"/>
        </w:rPr>
        <w:footnoteRef/>
      </w:r>
      <w:r w:rsidRPr="000C5CA4">
        <w:rPr>
          <w:sz w:val="18"/>
          <w:szCs w:val="18"/>
        </w:rPr>
        <w:t xml:space="preserve"> Zakon o ravnopravnosti spolova u Bosni i Hercegovini – prečišćeni tekst (“Službeni glasnik BiH” br. 32/10)</w:t>
      </w:r>
    </w:p>
  </w:footnote>
  <w:footnote w:id="2">
    <w:p w14:paraId="0CD79EC2" w14:textId="2E563933" w:rsidR="008415B2" w:rsidRPr="000C5CA4" w:rsidRDefault="008415B2">
      <w:pPr>
        <w:pStyle w:val="FootnoteText"/>
        <w:rPr>
          <w:sz w:val="18"/>
          <w:szCs w:val="18"/>
        </w:rPr>
      </w:pPr>
      <w:r w:rsidRPr="000C5CA4">
        <w:rPr>
          <w:rStyle w:val="FootnoteReference"/>
          <w:sz w:val="18"/>
          <w:szCs w:val="18"/>
        </w:rPr>
        <w:footnoteRef/>
      </w:r>
      <w:r w:rsidRPr="000C5CA4">
        <w:rPr>
          <w:sz w:val="18"/>
          <w:szCs w:val="18"/>
        </w:rPr>
        <w:t xml:space="preserve"> https://skupstina.tk.gov.ba/file/6-prijedlog-programa-rada-skupstine-tk-za-2024/453</w:t>
      </w:r>
    </w:p>
  </w:footnote>
  <w:footnote w:id="3">
    <w:p w14:paraId="77904A65" w14:textId="2E90D010" w:rsidR="008415B2" w:rsidRPr="000C5CA4" w:rsidRDefault="008415B2" w:rsidP="001025E1">
      <w:pPr>
        <w:pStyle w:val="FootnoteText"/>
        <w:rPr>
          <w:sz w:val="18"/>
          <w:szCs w:val="18"/>
        </w:rPr>
      </w:pPr>
      <w:r w:rsidRPr="000C5CA4">
        <w:rPr>
          <w:rStyle w:val="FootnoteReference"/>
          <w:sz w:val="18"/>
          <w:szCs w:val="18"/>
        </w:rPr>
        <w:footnoteRef/>
      </w:r>
      <w:r w:rsidRPr="000C5CA4">
        <w:rPr>
          <w:sz w:val="18"/>
          <w:szCs w:val="18"/>
        </w:rPr>
        <w:t>https://skupstinatk.gov.ba/file/8-izvjestaj-o-realizaciji-gender-akcionog-plana-tk-2021-2024-za-2024-godinu/579</w:t>
      </w:r>
    </w:p>
  </w:footnote>
  <w:footnote w:id="4">
    <w:p w14:paraId="4F901C0F" w14:textId="77777777" w:rsidR="008415B2" w:rsidRPr="000C5CA4" w:rsidRDefault="008415B2" w:rsidP="001025E1">
      <w:pPr>
        <w:pStyle w:val="FootnoteText"/>
        <w:rPr>
          <w:sz w:val="18"/>
          <w:szCs w:val="18"/>
        </w:rPr>
      </w:pPr>
      <w:r w:rsidRPr="000C5CA4">
        <w:rPr>
          <w:rStyle w:val="FootnoteReference"/>
          <w:sz w:val="18"/>
          <w:szCs w:val="18"/>
        </w:rPr>
        <w:footnoteRef/>
      </w:r>
      <w:r w:rsidRPr="000C5CA4">
        <w:rPr>
          <w:sz w:val="18"/>
          <w:szCs w:val="18"/>
        </w:rPr>
        <w:t xml:space="preserve"> http://www.sluzbenilist.ba/page/akt/1qYqiACer0I=</w:t>
      </w:r>
    </w:p>
  </w:footnote>
  <w:footnote w:id="5">
    <w:p w14:paraId="1EF33AF5" w14:textId="55C794AA" w:rsidR="008415B2" w:rsidRPr="000C5CA4" w:rsidRDefault="008415B2">
      <w:pPr>
        <w:pStyle w:val="FootnoteText"/>
        <w:rPr>
          <w:sz w:val="18"/>
          <w:szCs w:val="18"/>
        </w:rPr>
      </w:pPr>
      <w:r w:rsidRPr="000C5CA4">
        <w:rPr>
          <w:rStyle w:val="FootnoteReference"/>
          <w:sz w:val="18"/>
          <w:szCs w:val="18"/>
        </w:rPr>
        <w:footnoteRef/>
      </w:r>
      <w:r w:rsidRPr="000C5CA4">
        <w:rPr>
          <w:sz w:val="18"/>
          <w:szCs w:val="18"/>
        </w:rPr>
        <w:t>https://www.gcfbih.gov.ba/wp-content/uploads/2025/02/EU4I_Agenda_Strategy_DESIGN_BOOK_BS.pdf</w:t>
      </w:r>
    </w:p>
  </w:footnote>
  <w:footnote w:id="6">
    <w:p w14:paraId="33CAC0AE" w14:textId="5171F522" w:rsidR="008415B2" w:rsidRPr="000C5CA4" w:rsidRDefault="008415B2" w:rsidP="00633C8A">
      <w:pPr>
        <w:spacing w:line="276" w:lineRule="auto"/>
        <w:rPr>
          <w:sz w:val="22"/>
          <w:szCs w:val="20"/>
        </w:rPr>
      </w:pPr>
      <w:r w:rsidRPr="000C5CA4">
        <w:rPr>
          <w:rStyle w:val="FootnoteReference"/>
          <w:sz w:val="22"/>
          <w:szCs w:val="20"/>
        </w:rPr>
        <w:footnoteRef/>
      </w:r>
      <w:r w:rsidRPr="000C5CA4">
        <w:rPr>
          <w:sz w:val="22"/>
          <w:szCs w:val="20"/>
        </w:rPr>
        <w:t xml:space="preserve"> </w:t>
      </w:r>
      <w:r w:rsidRPr="000C5CA4">
        <w:rPr>
          <w:sz w:val="18"/>
          <w:szCs w:val="20"/>
        </w:rPr>
        <w:t>Federalni zavod za statistiku, Tuzlanski kanton u brojkama, 2024. godine</w:t>
      </w:r>
    </w:p>
  </w:footnote>
  <w:footnote w:id="7">
    <w:p w14:paraId="4CCBB61B" w14:textId="6C8943A4" w:rsidR="008415B2" w:rsidRPr="000C5CA4" w:rsidRDefault="008415B2">
      <w:pPr>
        <w:pStyle w:val="FootnoteText"/>
        <w:rPr>
          <w:sz w:val="18"/>
          <w:szCs w:val="18"/>
        </w:rPr>
      </w:pPr>
      <w:r w:rsidRPr="000C5CA4">
        <w:rPr>
          <w:rStyle w:val="FootnoteReference"/>
          <w:sz w:val="18"/>
          <w:szCs w:val="18"/>
        </w:rPr>
        <w:footnoteRef/>
      </w:r>
      <w:r w:rsidRPr="000C5CA4">
        <w:rPr>
          <w:sz w:val="18"/>
          <w:szCs w:val="18"/>
        </w:rPr>
        <w:t xml:space="preserve"> Federalni zavod za statistiku, Demografska statistika 2023, 2024. godine</w:t>
      </w:r>
    </w:p>
  </w:footnote>
  <w:footnote w:id="8">
    <w:p w14:paraId="4EF7BEEA" w14:textId="77777777" w:rsidR="008415B2" w:rsidRPr="000C5CA4" w:rsidRDefault="008415B2" w:rsidP="00624158">
      <w:pPr>
        <w:pStyle w:val="FootnoteText"/>
        <w:rPr>
          <w:sz w:val="18"/>
          <w:szCs w:val="18"/>
        </w:rPr>
      </w:pPr>
      <w:r w:rsidRPr="000C5CA4">
        <w:rPr>
          <w:rStyle w:val="FootnoteReference"/>
          <w:sz w:val="18"/>
          <w:szCs w:val="18"/>
        </w:rPr>
        <w:footnoteRef/>
      </w:r>
      <w:r w:rsidRPr="000C5CA4">
        <w:rPr>
          <w:sz w:val="18"/>
          <w:szCs w:val="18"/>
        </w:rPr>
        <w:t xml:space="preserve"> https://fzzpr.gov.ba/files/Socioekonomski%20pokazatelji%20po%20op%C4%87inama/Socioekonomski%20pokazatelji%202023.pdf</w:t>
      </w:r>
    </w:p>
  </w:footnote>
  <w:footnote w:id="9">
    <w:p w14:paraId="5BA55E5C" w14:textId="1065D120" w:rsidR="008415B2" w:rsidRPr="000C5CA4" w:rsidRDefault="008415B2" w:rsidP="00624158">
      <w:pPr>
        <w:spacing w:line="276" w:lineRule="auto"/>
        <w:jc w:val="left"/>
        <w:rPr>
          <w:sz w:val="22"/>
          <w:szCs w:val="20"/>
        </w:rPr>
      </w:pPr>
      <w:r w:rsidRPr="000C5CA4">
        <w:rPr>
          <w:rStyle w:val="FootnoteReference"/>
          <w:sz w:val="18"/>
          <w:szCs w:val="20"/>
        </w:rPr>
        <w:footnoteRef/>
      </w:r>
      <w:r w:rsidRPr="000C5CA4">
        <w:rPr>
          <w:sz w:val="18"/>
          <w:szCs w:val="20"/>
        </w:rPr>
        <w:t xml:space="preserve"> Federalni zavod za statistiku, Zaposlenost, nezaposlenost i plaće u Federaciji BiH po kantonima, 2024.</w:t>
      </w:r>
    </w:p>
  </w:footnote>
  <w:footnote w:id="10">
    <w:p w14:paraId="766DE59F" w14:textId="065D71C0" w:rsidR="008415B2" w:rsidRPr="000C5CA4" w:rsidRDefault="008415B2">
      <w:pPr>
        <w:pStyle w:val="FootnoteText"/>
        <w:rPr>
          <w:sz w:val="18"/>
          <w:szCs w:val="18"/>
        </w:rPr>
      </w:pPr>
      <w:r w:rsidRPr="000C5CA4">
        <w:rPr>
          <w:rStyle w:val="FootnoteReference"/>
          <w:sz w:val="18"/>
          <w:szCs w:val="18"/>
        </w:rPr>
        <w:footnoteRef/>
      </w:r>
      <w:r w:rsidRPr="000C5CA4">
        <w:rPr>
          <w:sz w:val="18"/>
          <w:szCs w:val="18"/>
        </w:rPr>
        <w:t xml:space="preserve"> https://www.vladatk.kim.ba/clanak/poceo-obavezni-program-predskolskog-odgoja-i-obrazovanja-u-osnovnim-skola-tk</w:t>
      </w:r>
    </w:p>
  </w:footnote>
  <w:footnote w:id="11">
    <w:p w14:paraId="0D83D693" w14:textId="77777777" w:rsidR="008415B2" w:rsidRPr="000C5CA4" w:rsidRDefault="008415B2" w:rsidP="00D25842">
      <w:pPr>
        <w:pStyle w:val="FootnoteText"/>
        <w:jc w:val="left"/>
        <w:rPr>
          <w:sz w:val="18"/>
          <w:szCs w:val="18"/>
        </w:rPr>
      </w:pPr>
      <w:r w:rsidRPr="000C5CA4">
        <w:rPr>
          <w:rStyle w:val="FootnoteReference"/>
          <w:sz w:val="18"/>
          <w:szCs w:val="18"/>
        </w:rPr>
        <w:footnoteRef/>
      </w:r>
      <w:r w:rsidRPr="000C5CA4">
        <w:rPr>
          <w:sz w:val="18"/>
          <w:szCs w:val="18"/>
        </w:rPr>
        <w:t xml:space="preserve"> Izvještaj o provedbi Akcionog plana Bosne i Hercegovine za društvenu inkluziju Roma i Romkinja za period 2021.-2025. godine i utrošku grant sredstava za 2022. godinu, https://mhrr.gov.ba/ljudska_prava/Izvje%C5%A1taj%20o%20provedbi%20Akcionog%20plana%20za%20dru%C5%A1tvenu%20inkluziju%20Roma%20i%20Romkinja%20za%20period%202021-2025%20i%20utro%C5%A1ka%20grant%20sredstava%20za%202022.%20godinu.pdf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E93DE" w14:textId="66DE6C35" w:rsidR="00140CE9" w:rsidRPr="00140CE9" w:rsidRDefault="00140CE9" w:rsidP="000C5CA4">
    <w:pPr>
      <w:pStyle w:val="Header"/>
      <w:rPr>
        <w:sz w:val="22"/>
      </w:rPr>
    </w:pPr>
  </w:p>
  <w:p w14:paraId="3BAE7FDA" w14:textId="050236C5" w:rsidR="008415B2" w:rsidRDefault="008415B2" w:rsidP="00B510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00000011"/>
    <w:name w:val="WW8Num17"/>
    <w:lvl w:ilvl="0">
      <w:start w:val="1"/>
      <w:numFmt w:val="bullet"/>
      <w:lvlText w:val=""/>
      <w:lvlJc w:val="left"/>
      <w:pPr>
        <w:tabs>
          <w:tab w:val="num" w:pos="0"/>
        </w:tabs>
        <w:ind w:left="720" w:hanging="360"/>
      </w:pPr>
      <w:rPr>
        <w:rFonts w:ascii="Symbol" w:hAnsi="Symbol" w:cs="Symbol"/>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15:restartNumberingAfterBreak="0">
    <w:nsid w:val="07824375"/>
    <w:multiLevelType w:val="hybridMultilevel"/>
    <w:tmpl w:val="31DE5DC4"/>
    <w:lvl w:ilvl="0" w:tplc="0409000F">
      <w:start w:val="1"/>
      <w:numFmt w:val="decimal"/>
      <w:lvlText w:val="%1."/>
      <w:lvlJc w:val="left"/>
      <w:pPr>
        <w:ind w:left="720" w:hanging="360"/>
      </w:pPr>
    </w:lvl>
    <w:lvl w:ilvl="1" w:tplc="5CE2BCE8">
      <w:start w:val="1"/>
      <w:numFmt w:val="lowerLetter"/>
      <w:lvlText w:val="%2."/>
      <w:lvlJc w:val="left"/>
      <w:pPr>
        <w:ind w:left="1440" w:hanging="360"/>
      </w:pPr>
    </w:lvl>
    <w:lvl w:ilvl="2" w:tplc="BEB83276">
      <w:start w:val="1"/>
      <w:numFmt w:val="lowerRoman"/>
      <w:lvlText w:val="%3."/>
      <w:lvlJc w:val="right"/>
      <w:pPr>
        <w:ind w:left="2160" w:hanging="180"/>
      </w:pPr>
    </w:lvl>
    <w:lvl w:ilvl="3" w:tplc="2B3AA2D8">
      <w:start w:val="1"/>
      <w:numFmt w:val="decimal"/>
      <w:lvlText w:val="%4."/>
      <w:lvlJc w:val="left"/>
      <w:pPr>
        <w:ind w:left="2880" w:hanging="360"/>
      </w:pPr>
    </w:lvl>
    <w:lvl w:ilvl="4" w:tplc="D1BEDDA4">
      <w:start w:val="1"/>
      <w:numFmt w:val="lowerLetter"/>
      <w:lvlText w:val="%5."/>
      <w:lvlJc w:val="left"/>
      <w:pPr>
        <w:ind w:left="3600" w:hanging="360"/>
      </w:pPr>
    </w:lvl>
    <w:lvl w:ilvl="5" w:tplc="7A963894">
      <w:start w:val="1"/>
      <w:numFmt w:val="lowerRoman"/>
      <w:lvlText w:val="%6."/>
      <w:lvlJc w:val="right"/>
      <w:pPr>
        <w:ind w:left="4320" w:hanging="180"/>
      </w:pPr>
    </w:lvl>
    <w:lvl w:ilvl="6" w:tplc="DB643680">
      <w:start w:val="1"/>
      <w:numFmt w:val="decimal"/>
      <w:lvlText w:val="%7."/>
      <w:lvlJc w:val="left"/>
      <w:pPr>
        <w:ind w:left="5040" w:hanging="360"/>
      </w:pPr>
    </w:lvl>
    <w:lvl w:ilvl="7" w:tplc="262257D4">
      <w:start w:val="1"/>
      <w:numFmt w:val="lowerLetter"/>
      <w:lvlText w:val="%8."/>
      <w:lvlJc w:val="left"/>
      <w:pPr>
        <w:ind w:left="5760" w:hanging="360"/>
      </w:pPr>
    </w:lvl>
    <w:lvl w:ilvl="8" w:tplc="DF0694E8">
      <w:start w:val="1"/>
      <w:numFmt w:val="lowerRoman"/>
      <w:lvlText w:val="%9."/>
      <w:lvlJc w:val="right"/>
      <w:pPr>
        <w:ind w:left="6480" w:hanging="180"/>
      </w:pPr>
    </w:lvl>
  </w:abstractNum>
  <w:abstractNum w:abstractNumId="2" w15:restartNumberingAfterBreak="0">
    <w:nsid w:val="07FB50A9"/>
    <w:multiLevelType w:val="hybridMultilevel"/>
    <w:tmpl w:val="49C22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65483"/>
    <w:multiLevelType w:val="hybridMultilevel"/>
    <w:tmpl w:val="E746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453F3"/>
    <w:multiLevelType w:val="hybridMultilevel"/>
    <w:tmpl w:val="A1C48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C6063"/>
    <w:multiLevelType w:val="multilevel"/>
    <w:tmpl w:val="FACE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606C5"/>
    <w:multiLevelType w:val="hybridMultilevel"/>
    <w:tmpl w:val="DB7489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86332"/>
    <w:multiLevelType w:val="multilevel"/>
    <w:tmpl w:val="99FE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626EC5"/>
    <w:multiLevelType w:val="multilevel"/>
    <w:tmpl w:val="8144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095704"/>
    <w:multiLevelType w:val="multilevel"/>
    <w:tmpl w:val="0C52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B411A5"/>
    <w:multiLevelType w:val="hybridMultilevel"/>
    <w:tmpl w:val="322048A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1CC14EE6"/>
    <w:multiLevelType w:val="hybridMultilevel"/>
    <w:tmpl w:val="6966DB8C"/>
    <w:lvl w:ilvl="0" w:tplc="37005236">
      <w:numFmt w:val="bullet"/>
      <w:lvlText w:val="•"/>
      <w:lvlJc w:val="left"/>
      <w:pPr>
        <w:ind w:left="720" w:hanging="360"/>
      </w:pPr>
      <w:rPr>
        <w:rFonts w:ascii="Cambria" w:eastAsia="Verdan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7297F"/>
    <w:multiLevelType w:val="hybridMultilevel"/>
    <w:tmpl w:val="496C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995743"/>
    <w:multiLevelType w:val="hybridMultilevel"/>
    <w:tmpl w:val="BBA2D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046CA8"/>
    <w:multiLevelType w:val="multilevel"/>
    <w:tmpl w:val="5FA8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DF49AD"/>
    <w:multiLevelType w:val="multilevel"/>
    <w:tmpl w:val="02A865E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420EBB"/>
    <w:multiLevelType w:val="hybridMultilevel"/>
    <w:tmpl w:val="7E109F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4271C"/>
    <w:multiLevelType w:val="multilevel"/>
    <w:tmpl w:val="21D2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97012C"/>
    <w:multiLevelType w:val="hybridMultilevel"/>
    <w:tmpl w:val="6C7EA3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2663A"/>
    <w:multiLevelType w:val="hybridMultilevel"/>
    <w:tmpl w:val="3AD8C048"/>
    <w:lvl w:ilvl="0" w:tplc="15801E20">
      <w:start w:val="1"/>
      <w:numFmt w:val="bullet"/>
      <w:lvlText w:val="•"/>
      <w:lvlJc w:val="left"/>
      <w:pPr>
        <w:tabs>
          <w:tab w:val="num" w:pos="720"/>
        </w:tabs>
        <w:ind w:left="720" w:hanging="360"/>
      </w:pPr>
      <w:rPr>
        <w:rFonts w:ascii="Times New Roman" w:hAnsi="Times New Roman" w:hint="default"/>
      </w:rPr>
    </w:lvl>
    <w:lvl w:ilvl="1" w:tplc="1F70950A" w:tentative="1">
      <w:start w:val="1"/>
      <w:numFmt w:val="bullet"/>
      <w:lvlText w:val="•"/>
      <w:lvlJc w:val="left"/>
      <w:pPr>
        <w:tabs>
          <w:tab w:val="num" w:pos="1440"/>
        </w:tabs>
        <w:ind w:left="1440" w:hanging="360"/>
      </w:pPr>
      <w:rPr>
        <w:rFonts w:ascii="Times New Roman" w:hAnsi="Times New Roman" w:hint="default"/>
      </w:rPr>
    </w:lvl>
    <w:lvl w:ilvl="2" w:tplc="437AEF28" w:tentative="1">
      <w:start w:val="1"/>
      <w:numFmt w:val="bullet"/>
      <w:lvlText w:val="•"/>
      <w:lvlJc w:val="left"/>
      <w:pPr>
        <w:tabs>
          <w:tab w:val="num" w:pos="2160"/>
        </w:tabs>
        <w:ind w:left="2160" w:hanging="360"/>
      </w:pPr>
      <w:rPr>
        <w:rFonts w:ascii="Times New Roman" w:hAnsi="Times New Roman" w:hint="default"/>
      </w:rPr>
    </w:lvl>
    <w:lvl w:ilvl="3" w:tplc="736C7030" w:tentative="1">
      <w:start w:val="1"/>
      <w:numFmt w:val="bullet"/>
      <w:lvlText w:val="•"/>
      <w:lvlJc w:val="left"/>
      <w:pPr>
        <w:tabs>
          <w:tab w:val="num" w:pos="2880"/>
        </w:tabs>
        <w:ind w:left="2880" w:hanging="360"/>
      </w:pPr>
      <w:rPr>
        <w:rFonts w:ascii="Times New Roman" w:hAnsi="Times New Roman" w:hint="default"/>
      </w:rPr>
    </w:lvl>
    <w:lvl w:ilvl="4" w:tplc="53542D0A" w:tentative="1">
      <w:start w:val="1"/>
      <w:numFmt w:val="bullet"/>
      <w:lvlText w:val="•"/>
      <w:lvlJc w:val="left"/>
      <w:pPr>
        <w:tabs>
          <w:tab w:val="num" w:pos="3600"/>
        </w:tabs>
        <w:ind w:left="3600" w:hanging="360"/>
      </w:pPr>
      <w:rPr>
        <w:rFonts w:ascii="Times New Roman" w:hAnsi="Times New Roman" w:hint="default"/>
      </w:rPr>
    </w:lvl>
    <w:lvl w:ilvl="5" w:tplc="40E63424" w:tentative="1">
      <w:start w:val="1"/>
      <w:numFmt w:val="bullet"/>
      <w:lvlText w:val="•"/>
      <w:lvlJc w:val="left"/>
      <w:pPr>
        <w:tabs>
          <w:tab w:val="num" w:pos="4320"/>
        </w:tabs>
        <w:ind w:left="4320" w:hanging="360"/>
      </w:pPr>
      <w:rPr>
        <w:rFonts w:ascii="Times New Roman" w:hAnsi="Times New Roman" w:hint="default"/>
      </w:rPr>
    </w:lvl>
    <w:lvl w:ilvl="6" w:tplc="A852D52E" w:tentative="1">
      <w:start w:val="1"/>
      <w:numFmt w:val="bullet"/>
      <w:lvlText w:val="•"/>
      <w:lvlJc w:val="left"/>
      <w:pPr>
        <w:tabs>
          <w:tab w:val="num" w:pos="5040"/>
        </w:tabs>
        <w:ind w:left="5040" w:hanging="360"/>
      </w:pPr>
      <w:rPr>
        <w:rFonts w:ascii="Times New Roman" w:hAnsi="Times New Roman" w:hint="default"/>
      </w:rPr>
    </w:lvl>
    <w:lvl w:ilvl="7" w:tplc="FAFC3D36" w:tentative="1">
      <w:start w:val="1"/>
      <w:numFmt w:val="bullet"/>
      <w:lvlText w:val="•"/>
      <w:lvlJc w:val="left"/>
      <w:pPr>
        <w:tabs>
          <w:tab w:val="num" w:pos="5760"/>
        </w:tabs>
        <w:ind w:left="5760" w:hanging="360"/>
      </w:pPr>
      <w:rPr>
        <w:rFonts w:ascii="Times New Roman" w:hAnsi="Times New Roman" w:hint="default"/>
      </w:rPr>
    </w:lvl>
    <w:lvl w:ilvl="8" w:tplc="BE2A08D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2355960"/>
    <w:multiLevelType w:val="multilevel"/>
    <w:tmpl w:val="0C4A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EB50C0"/>
    <w:multiLevelType w:val="hybridMultilevel"/>
    <w:tmpl w:val="33A23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106F38"/>
    <w:multiLevelType w:val="multilevel"/>
    <w:tmpl w:val="199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274BB0"/>
    <w:multiLevelType w:val="hybridMultilevel"/>
    <w:tmpl w:val="A858BBE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4" w15:restartNumberingAfterBreak="0">
    <w:nsid w:val="3E16190D"/>
    <w:multiLevelType w:val="multilevel"/>
    <w:tmpl w:val="7FD2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670F4F"/>
    <w:multiLevelType w:val="singleLevel"/>
    <w:tmpl w:val="53820F24"/>
    <w:lvl w:ilvl="0">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4AE030EB"/>
    <w:multiLevelType w:val="multilevel"/>
    <w:tmpl w:val="C410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C7604B"/>
    <w:multiLevelType w:val="multilevel"/>
    <w:tmpl w:val="E742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8F4561"/>
    <w:multiLevelType w:val="multilevel"/>
    <w:tmpl w:val="C540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030B1B"/>
    <w:multiLevelType w:val="multilevel"/>
    <w:tmpl w:val="686E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B45CDD"/>
    <w:multiLevelType w:val="multilevel"/>
    <w:tmpl w:val="AD12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9757D3"/>
    <w:multiLevelType w:val="hybridMultilevel"/>
    <w:tmpl w:val="E8B27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90E6F"/>
    <w:multiLevelType w:val="hybridMultilevel"/>
    <w:tmpl w:val="E3E0C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A77157"/>
    <w:multiLevelType w:val="hybridMultilevel"/>
    <w:tmpl w:val="C6227810"/>
    <w:lvl w:ilvl="0" w:tplc="9050C7AA">
      <w:numFmt w:val="bullet"/>
      <w:lvlText w:val="•"/>
      <w:lvlJc w:val="left"/>
      <w:pPr>
        <w:ind w:left="720" w:hanging="360"/>
      </w:pPr>
      <w:rPr>
        <w:rFonts w:hint="default"/>
        <w:lang w:val="hr" w:eastAsia="hr" w:bidi="h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51DD5"/>
    <w:multiLevelType w:val="multilevel"/>
    <w:tmpl w:val="6B9E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4F0203"/>
    <w:multiLevelType w:val="hybridMultilevel"/>
    <w:tmpl w:val="9ADA0B5A"/>
    <w:lvl w:ilvl="0" w:tplc="26B66C8C">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535A94"/>
    <w:multiLevelType w:val="multilevel"/>
    <w:tmpl w:val="2F5E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4162A0"/>
    <w:multiLevelType w:val="hybridMultilevel"/>
    <w:tmpl w:val="8DC4FADE"/>
    <w:lvl w:ilvl="0" w:tplc="D67A8DEA">
      <w:start w:val="1"/>
      <w:numFmt w:val="upperRoman"/>
      <w:pStyle w:val="Heading1"/>
      <w:lvlText w:val="%1."/>
      <w:lvlJc w:val="left"/>
      <w:pPr>
        <w:ind w:left="761" w:hanging="720"/>
      </w:pPr>
      <w:rPr>
        <w:rFonts w:hint="default"/>
      </w:rPr>
    </w:lvl>
    <w:lvl w:ilvl="1" w:tplc="08090019" w:tentative="1">
      <w:start w:val="1"/>
      <w:numFmt w:val="lowerLetter"/>
      <w:lvlText w:val="%2."/>
      <w:lvlJc w:val="left"/>
      <w:pPr>
        <w:ind w:left="1121" w:hanging="360"/>
      </w:pPr>
    </w:lvl>
    <w:lvl w:ilvl="2" w:tplc="0809001B" w:tentative="1">
      <w:start w:val="1"/>
      <w:numFmt w:val="lowerRoman"/>
      <w:lvlText w:val="%3."/>
      <w:lvlJc w:val="right"/>
      <w:pPr>
        <w:ind w:left="1841" w:hanging="180"/>
      </w:pPr>
    </w:lvl>
    <w:lvl w:ilvl="3" w:tplc="0809000F" w:tentative="1">
      <w:start w:val="1"/>
      <w:numFmt w:val="decimal"/>
      <w:lvlText w:val="%4."/>
      <w:lvlJc w:val="left"/>
      <w:pPr>
        <w:ind w:left="2561" w:hanging="360"/>
      </w:pPr>
    </w:lvl>
    <w:lvl w:ilvl="4" w:tplc="08090019" w:tentative="1">
      <w:start w:val="1"/>
      <w:numFmt w:val="lowerLetter"/>
      <w:lvlText w:val="%5."/>
      <w:lvlJc w:val="left"/>
      <w:pPr>
        <w:ind w:left="3281" w:hanging="360"/>
      </w:pPr>
    </w:lvl>
    <w:lvl w:ilvl="5" w:tplc="0809001B" w:tentative="1">
      <w:start w:val="1"/>
      <w:numFmt w:val="lowerRoman"/>
      <w:lvlText w:val="%6."/>
      <w:lvlJc w:val="right"/>
      <w:pPr>
        <w:ind w:left="4001" w:hanging="180"/>
      </w:pPr>
    </w:lvl>
    <w:lvl w:ilvl="6" w:tplc="0809000F" w:tentative="1">
      <w:start w:val="1"/>
      <w:numFmt w:val="decimal"/>
      <w:lvlText w:val="%7."/>
      <w:lvlJc w:val="left"/>
      <w:pPr>
        <w:ind w:left="4721" w:hanging="360"/>
      </w:pPr>
    </w:lvl>
    <w:lvl w:ilvl="7" w:tplc="08090019" w:tentative="1">
      <w:start w:val="1"/>
      <w:numFmt w:val="lowerLetter"/>
      <w:lvlText w:val="%8."/>
      <w:lvlJc w:val="left"/>
      <w:pPr>
        <w:ind w:left="5441" w:hanging="360"/>
      </w:pPr>
    </w:lvl>
    <w:lvl w:ilvl="8" w:tplc="0809001B" w:tentative="1">
      <w:start w:val="1"/>
      <w:numFmt w:val="lowerRoman"/>
      <w:lvlText w:val="%9."/>
      <w:lvlJc w:val="right"/>
      <w:pPr>
        <w:ind w:left="6161" w:hanging="180"/>
      </w:pPr>
    </w:lvl>
  </w:abstractNum>
  <w:abstractNum w:abstractNumId="38" w15:restartNumberingAfterBreak="0">
    <w:nsid w:val="70680DF2"/>
    <w:multiLevelType w:val="hybridMultilevel"/>
    <w:tmpl w:val="C95A0AF6"/>
    <w:lvl w:ilvl="0" w:tplc="CC9C25A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326186"/>
    <w:multiLevelType w:val="multilevel"/>
    <w:tmpl w:val="452A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0C71A3"/>
    <w:multiLevelType w:val="hybridMultilevel"/>
    <w:tmpl w:val="8410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D760B5"/>
    <w:multiLevelType w:val="hybridMultilevel"/>
    <w:tmpl w:val="9CDE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091643"/>
    <w:multiLevelType w:val="multilevel"/>
    <w:tmpl w:val="56C65C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EC4054B"/>
    <w:multiLevelType w:val="multilevel"/>
    <w:tmpl w:val="638C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344830"/>
    <w:multiLevelType w:val="multilevel"/>
    <w:tmpl w:val="165E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6"/>
  </w:num>
  <w:num w:numId="3">
    <w:abstractNumId w:val="35"/>
  </w:num>
  <w:num w:numId="4">
    <w:abstractNumId w:val="18"/>
  </w:num>
  <w:num w:numId="5">
    <w:abstractNumId w:val="33"/>
  </w:num>
  <w:num w:numId="6">
    <w:abstractNumId w:val="1"/>
  </w:num>
  <w:num w:numId="7">
    <w:abstractNumId w:val="38"/>
  </w:num>
  <w:num w:numId="8">
    <w:abstractNumId w:val="37"/>
    <w:lvlOverride w:ilvl="0">
      <w:startOverride w:val="1"/>
    </w:lvlOverride>
  </w:num>
  <w:num w:numId="9">
    <w:abstractNumId w:val="6"/>
  </w:num>
  <w:num w:numId="10">
    <w:abstractNumId w:val="21"/>
  </w:num>
  <w:num w:numId="11">
    <w:abstractNumId w:val="3"/>
  </w:num>
  <w:num w:numId="12">
    <w:abstractNumId w:val="32"/>
  </w:num>
  <w:num w:numId="13">
    <w:abstractNumId w:val="12"/>
  </w:num>
  <w:num w:numId="14">
    <w:abstractNumId w:val="2"/>
  </w:num>
  <w:num w:numId="15">
    <w:abstractNumId w:val="41"/>
  </w:num>
  <w:num w:numId="16">
    <w:abstractNumId w:val="13"/>
  </w:num>
  <w:num w:numId="17">
    <w:abstractNumId w:val="40"/>
  </w:num>
  <w:num w:numId="18">
    <w:abstractNumId w:val="31"/>
  </w:num>
  <w:num w:numId="19">
    <w:abstractNumId w:val="25"/>
  </w:num>
  <w:num w:numId="20">
    <w:abstractNumId w:val="36"/>
  </w:num>
  <w:num w:numId="21">
    <w:abstractNumId w:val="20"/>
  </w:num>
  <w:num w:numId="22">
    <w:abstractNumId w:val="39"/>
  </w:num>
  <w:num w:numId="23">
    <w:abstractNumId w:val="7"/>
  </w:num>
  <w:num w:numId="24">
    <w:abstractNumId w:val="8"/>
  </w:num>
  <w:num w:numId="25">
    <w:abstractNumId w:val="24"/>
  </w:num>
  <w:num w:numId="26">
    <w:abstractNumId w:val="17"/>
  </w:num>
  <w:num w:numId="27">
    <w:abstractNumId w:val="5"/>
  </w:num>
  <w:num w:numId="28">
    <w:abstractNumId w:val="29"/>
  </w:num>
  <w:num w:numId="29">
    <w:abstractNumId w:val="14"/>
  </w:num>
  <w:num w:numId="30">
    <w:abstractNumId w:val="22"/>
  </w:num>
  <w:num w:numId="31">
    <w:abstractNumId w:val="27"/>
  </w:num>
  <w:num w:numId="32">
    <w:abstractNumId w:val="30"/>
  </w:num>
  <w:num w:numId="33">
    <w:abstractNumId w:val="4"/>
  </w:num>
  <w:num w:numId="34">
    <w:abstractNumId w:val="11"/>
  </w:num>
  <w:num w:numId="35">
    <w:abstractNumId w:val="43"/>
  </w:num>
  <w:num w:numId="36">
    <w:abstractNumId w:val="42"/>
  </w:num>
  <w:num w:numId="37">
    <w:abstractNumId w:val="34"/>
  </w:num>
  <w:num w:numId="38">
    <w:abstractNumId w:val="26"/>
  </w:num>
  <w:num w:numId="39">
    <w:abstractNumId w:val="15"/>
  </w:num>
  <w:num w:numId="40">
    <w:abstractNumId w:val="44"/>
  </w:num>
  <w:num w:numId="41">
    <w:abstractNumId w:val="28"/>
  </w:num>
  <w:num w:numId="42">
    <w:abstractNumId w:val="9"/>
  </w:num>
  <w:num w:numId="43">
    <w:abstractNumId w:val="10"/>
  </w:num>
  <w:num w:numId="44">
    <w:abstractNumId w:val="23"/>
  </w:num>
  <w:num w:numId="45">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it-IT" w:vendorID="64" w:dllVersion="131078" w:nlCheck="1" w:checkStyle="0"/>
  <w:activeWritingStyle w:appName="MSWord" w:lang="en-GB" w:vendorID="64" w:dllVersion="131078" w:nlCheck="1" w:checkStyle="1"/>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500"/>
    <w:rsid w:val="00010414"/>
    <w:rsid w:val="00017265"/>
    <w:rsid w:val="00021413"/>
    <w:rsid w:val="000215A5"/>
    <w:rsid w:val="00023831"/>
    <w:rsid w:val="0002393F"/>
    <w:rsid w:val="00024471"/>
    <w:rsid w:val="000278DA"/>
    <w:rsid w:val="0003055E"/>
    <w:rsid w:val="00030C82"/>
    <w:rsid w:val="00036CAE"/>
    <w:rsid w:val="00036CB0"/>
    <w:rsid w:val="00037B6A"/>
    <w:rsid w:val="00040229"/>
    <w:rsid w:val="0004354E"/>
    <w:rsid w:val="0004384C"/>
    <w:rsid w:val="00045A05"/>
    <w:rsid w:val="000511AE"/>
    <w:rsid w:val="00052B7F"/>
    <w:rsid w:val="00052CA6"/>
    <w:rsid w:val="00054EC9"/>
    <w:rsid w:val="00055988"/>
    <w:rsid w:val="00055F37"/>
    <w:rsid w:val="00056E63"/>
    <w:rsid w:val="00061952"/>
    <w:rsid w:val="000644BC"/>
    <w:rsid w:val="00066828"/>
    <w:rsid w:val="0007154F"/>
    <w:rsid w:val="00072300"/>
    <w:rsid w:val="00074D7B"/>
    <w:rsid w:val="00080A9B"/>
    <w:rsid w:val="00084AAE"/>
    <w:rsid w:val="00085AFD"/>
    <w:rsid w:val="00085E55"/>
    <w:rsid w:val="00092A0C"/>
    <w:rsid w:val="00092A21"/>
    <w:rsid w:val="0009771A"/>
    <w:rsid w:val="000A19CF"/>
    <w:rsid w:val="000A1AB7"/>
    <w:rsid w:val="000A45DB"/>
    <w:rsid w:val="000A6D5A"/>
    <w:rsid w:val="000A79B5"/>
    <w:rsid w:val="000B31D6"/>
    <w:rsid w:val="000B38CB"/>
    <w:rsid w:val="000B3FCA"/>
    <w:rsid w:val="000C1F0E"/>
    <w:rsid w:val="000C34CF"/>
    <w:rsid w:val="000C3959"/>
    <w:rsid w:val="000C5CA4"/>
    <w:rsid w:val="000D2396"/>
    <w:rsid w:val="000D2903"/>
    <w:rsid w:val="000D55AF"/>
    <w:rsid w:val="000D7569"/>
    <w:rsid w:val="000E2A5A"/>
    <w:rsid w:val="000F181E"/>
    <w:rsid w:val="000F23AE"/>
    <w:rsid w:val="001025E1"/>
    <w:rsid w:val="00102C12"/>
    <w:rsid w:val="00111437"/>
    <w:rsid w:val="001118CF"/>
    <w:rsid w:val="00112B2A"/>
    <w:rsid w:val="0011460F"/>
    <w:rsid w:val="001202E8"/>
    <w:rsid w:val="00121CCF"/>
    <w:rsid w:val="00124F41"/>
    <w:rsid w:val="00132AFC"/>
    <w:rsid w:val="00135EC0"/>
    <w:rsid w:val="00136424"/>
    <w:rsid w:val="00137957"/>
    <w:rsid w:val="00140CE9"/>
    <w:rsid w:val="00145AA2"/>
    <w:rsid w:val="00146ECF"/>
    <w:rsid w:val="001475D3"/>
    <w:rsid w:val="00147D79"/>
    <w:rsid w:val="00150C57"/>
    <w:rsid w:val="001576AD"/>
    <w:rsid w:val="00166CC1"/>
    <w:rsid w:val="0017131E"/>
    <w:rsid w:val="001731B3"/>
    <w:rsid w:val="001740D7"/>
    <w:rsid w:val="0018400C"/>
    <w:rsid w:val="00190B87"/>
    <w:rsid w:val="001917CB"/>
    <w:rsid w:val="001950F6"/>
    <w:rsid w:val="0019594A"/>
    <w:rsid w:val="001A3F82"/>
    <w:rsid w:val="001B5789"/>
    <w:rsid w:val="001C0BC7"/>
    <w:rsid w:val="001C0F7D"/>
    <w:rsid w:val="001D713A"/>
    <w:rsid w:val="001D7A50"/>
    <w:rsid w:val="001D7F0B"/>
    <w:rsid w:val="001E051E"/>
    <w:rsid w:val="001E21E4"/>
    <w:rsid w:val="001F6F2F"/>
    <w:rsid w:val="002010D8"/>
    <w:rsid w:val="002014E3"/>
    <w:rsid w:val="00201FA3"/>
    <w:rsid w:val="00202DD6"/>
    <w:rsid w:val="002040D9"/>
    <w:rsid w:val="0021253E"/>
    <w:rsid w:val="002127D4"/>
    <w:rsid w:val="00213C1B"/>
    <w:rsid w:val="002172FE"/>
    <w:rsid w:val="0022617B"/>
    <w:rsid w:val="0022648D"/>
    <w:rsid w:val="00231B01"/>
    <w:rsid w:val="00240C0D"/>
    <w:rsid w:val="002451F7"/>
    <w:rsid w:val="0024557E"/>
    <w:rsid w:val="00253CE3"/>
    <w:rsid w:val="002543E7"/>
    <w:rsid w:val="002543FC"/>
    <w:rsid w:val="00254555"/>
    <w:rsid w:val="002624CB"/>
    <w:rsid w:val="00266853"/>
    <w:rsid w:val="002719F1"/>
    <w:rsid w:val="002766A9"/>
    <w:rsid w:val="002770E3"/>
    <w:rsid w:val="002810B2"/>
    <w:rsid w:val="002828B9"/>
    <w:rsid w:val="00287F04"/>
    <w:rsid w:val="0029263B"/>
    <w:rsid w:val="002A07F2"/>
    <w:rsid w:val="002A0B95"/>
    <w:rsid w:val="002A369A"/>
    <w:rsid w:val="002A45AB"/>
    <w:rsid w:val="002A4786"/>
    <w:rsid w:val="002A60B5"/>
    <w:rsid w:val="002C4211"/>
    <w:rsid w:val="002C4DC5"/>
    <w:rsid w:val="002D0D43"/>
    <w:rsid w:val="002D113F"/>
    <w:rsid w:val="002D2EA8"/>
    <w:rsid w:val="002D4AC9"/>
    <w:rsid w:val="002E0C0B"/>
    <w:rsid w:val="002E2FB1"/>
    <w:rsid w:val="002E3B08"/>
    <w:rsid w:val="002E54F4"/>
    <w:rsid w:val="002E5707"/>
    <w:rsid w:val="002E79E3"/>
    <w:rsid w:val="002E7F76"/>
    <w:rsid w:val="002F06F6"/>
    <w:rsid w:val="002F4749"/>
    <w:rsid w:val="002F554E"/>
    <w:rsid w:val="003014F8"/>
    <w:rsid w:val="003059A4"/>
    <w:rsid w:val="00317A78"/>
    <w:rsid w:val="0032408F"/>
    <w:rsid w:val="00325316"/>
    <w:rsid w:val="00325EE9"/>
    <w:rsid w:val="00332205"/>
    <w:rsid w:val="003337E6"/>
    <w:rsid w:val="0033647D"/>
    <w:rsid w:val="003378F9"/>
    <w:rsid w:val="00337E53"/>
    <w:rsid w:val="00340A54"/>
    <w:rsid w:val="00341AAE"/>
    <w:rsid w:val="00344592"/>
    <w:rsid w:val="00346F2F"/>
    <w:rsid w:val="003531F7"/>
    <w:rsid w:val="00360FE0"/>
    <w:rsid w:val="00361471"/>
    <w:rsid w:val="00366318"/>
    <w:rsid w:val="00370E1D"/>
    <w:rsid w:val="00377CF9"/>
    <w:rsid w:val="00383988"/>
    <w:rsid w:val="00386EC9"/>
    <w:rsid w:val="00387091"/>
    <w:rsid w:val="003916FC"/>
    <w:rsid w:val="0039359B"/>
    <w:rsid w:val="00393F25"/>
    <w:rsid w:val="003A1042"/>
    <w:rsid w:val="003A315A"/>
    <w:rsid w:val="003B64D4"/>
    <w:rsid w:val="003D02D9"/>
    <w:rsid w:val="003D6580"/>
    <w:rsid w:val="003D65AD"/>
    <w:rsid w:val="003E0056"/>
    <w:rsid w:val="003E44FA"/>
    <w:rsid w:val="003E4FA1"/>
    <w:rsid w:val="003E6CB1"/>
    <w:rsid w:val="004006B9"/>
    <w:rsid w:val="00401DEC"/>
    <w:rsid w:val="00411408"/>
    <w:rsid w:val="004136B9"/>
    <w:rsid w:val="00415BD6"/>
    <w:rsid w:val="004161BF"/>
    <w:rsid w:val="00421A42"/>
    <w:rsid w:val="00426208"/>
    <w:rsid w:val="004264C6"/>
    <w:rsid w:val="004277B0"/>
    <w:rsid w:val="0043325D"/>
    <w:rsid w:val="00434060"/>
    <w:rsid w:val="00441EE9"/>
    <w:rsid w:val="004428B3"/>
    <w:rsid w:val="00442B01"/>
    <w:rsid w:val="004534A8"/>
    <w:rsid w:val="004566C5"/>
    <w:rsid w:val="00460C8D"/>
    <w:rsid w:val="00465C1A"/>
    <w:rsid w:val="00466ED9"/>
    <w:rsid w:val="004815A2"/>
    <w:rsid w:val="004838E9"/>
    <w:rsid w:val="00487219"/>
    <w:rsid w:val="004873D5"/>
    <w:rsid w:val="00490474"/>
    <w:rsid w:val="004B29DB"/>
    <w:rsid w:val="004C26CA"/>
    <w:rsid w:val="004C4467"/>
    <w:rsid w:val="004C44E3"/>
    <w:rsid w:val="004C7D15"/>
    <w:rsid w:val="004D4089"/>
    <w:rsid w:val="004D76AF"/>
    <w:rsid w:val="004E2E79"/>
    <w:rsid w:val="004E3CDC"/>
    <w:rsid w:val="004E6EAC"/>
    <w:rsid w:val="004F18A9"/>
    <w:rsid w:val="004F3AB5"/>
    <w:rsid w:val="004F5D18"/>
    <w:rsid w:val="00505950"/>
    <w:rsid w:val="00510747"/>
    <w:rsid w:val="00512108"/>
    <w:rsid w:val="00512ED9"/>
    <w:rsid w:val="0051689D"/>
    <w:rsid w:val="005218B5"/>
    <w:rsid w:val="0052505C"/>
    <w:rsid w:val="00527567"/>
    <w:rsid w:val="0053095C"/>
    <w:rsid w:val="0053118A"/>
    <w:rsid w:val="0053226A"/>
    <w:rsid w:val="00535077"/>
    <w:rsid w:val="00535D8A"/>
    <w:rsid w:val="005363DF"/>
    <w:rsid w:val="00541ACA"/>
    <w:rsid w:val="00546FFB"/>
    <w:rsid w:val="00555EC0"/>
    <w:rsid w:val="0056251C"/>
    <w:rsid w:val="00565A18"/>
    <w:rsid w:val="00571DF4"/>
    <w:rsid w:val="00575FE6"/>
    <w:rsid w:val="0057681B"/>
    <w:rsid w:val="005820EA"/>
    <w:rsid w:val="00584AB5"/>
    <w:rsid w:val="00584EE2"/>
    <w:rsid w:val="00586C19"/>
    <w:rsid w:val="00586E93"/>
    <w:rsid w:val="00591564"/>
    <w:rsid w:val="0059408C"/>
    <w:rsid w:val="00595014"/>
    <w:rsid w:val="005A21E0"/>
    <w:rsid w:val="005A5EE1"/>
    <w:rsid w:val="005B66F8"/>
    <w:rsid w:val="005B694D"/>
    <w:rsid w:val="005C0958"/>
    <w:rsid w:val="005C42E3"/>
    <w:rsid w:val="005C4D45"/>
    <w:rsid w:val="005C6CB3"/>
    <w:rsid w:val="005D2082"/>
    <w:rsid w:val="005D4971"/>
    <w:rsid w:val="005E3818"/>
    <w:rsid w:val="005E60F7"/>
    <w:rsid w:val="005F012F"/>
    <w:rsid w:val="005F0FF7"/>
    <w:rsid w:val="005F26A8"/>
    <w:rsid w:val="005F66E2"/>
    <w:rsid w:val="00604C85"/>
    <w:rsid w:val="006050EE"/>
    <w:rsid w:val="00615643"/>
    <w:rsid w:val="006217E7"/>
    <w:rsid w:val="00624158"/>
    <w:rsid w:val="00627041"/>
    <w:rsid w:val="00633C8A"/>
    <w:rsid w:val="0064422D"/>
    <w:rsid w:val="00646879"/>
    <w:rsid w:val="006567BE"/>
    <w:rsid w:val="0066247B"/>
    <w:rsid w:val="006671BC"/>
    <w:rsid w:val="00672AC4"/>
    <w:rsid w:val="006738A7"/>
    <w:rsid w:val="0067601F"/>
    <w:rsid w:val="0068040D"/>
    <w:rsid w:val="0069004A"/>
    <w:rsid w:val="006923BC"/>
    <w:rsid w:val="006926F5"/>
    <w:rsid w:val="006A24E4"/>
    <w:rsid w:val="006A3319"/>
    <w:rsid w:val="006A3500"/>
    <w:rsid w:val="006A7EDC"/>
    <w:rsid w:val="006B000C"/>
    <w:rsid w:val="006B2A90"/>
    <w:rsid w:val="006B7CC7"/>
    <w:rsid w:val="006C2D6D"/>
    <w:rsid w:val="006C6B23"/>
    <w:rsid w:val="006E59D9"/>
    <w:rsid w:val="006E75F2"/>
    <w:rsid w:val="006F014C"/>
    <w:rsid w:val="006F2EA3"/>
    <w:rsid w:val="006F2EC1"/>
    <w:rsid w:val="006F778E"/>
    <w:rsid w:val="0070052E"/>
    <w:rsid w:val="0070073E"/>
    <w:rsid w:val="00711D91"/>
    <w:rsid w:val="0071230A"/>
    <w:rsid w:val="0071685D"/>
    <w:rsid w:val="007234A6"/>
    <w:rsid w:val="007238E3"/>
    <w:rsid w:val="00724429"/>
    <w:rsid w:val="00725BE5"/>
    <w:rsid w:val="007264D0"/>
    <w:rsid w:val="00730E67"/>
    <w:rsid w:val="00735371"/>
    <w:rsid w:val="00740E65"/>
    <w:rsid w:val="00742695"/>
    <w:rsid w:val="0074524C"/>
    <w:rsid w:val="007471BB"/>
    <w:rsid w:val="007552A8"/>
    <w:rsid w:val="00757E87"/>
    <w:rsid w:val="00762B6B"/>
    <w:rsid w:val="00770088"/>
    <w:rsid w:val="007720EF"/>
    <w:rsid w:val="00775B48"/>
    <w:rsid w:val="0077682E"/>
    <w:rsid w:val="007777E5"/>
    <w:rsid w:val="00781543"/>
    <w:rsid w:val="00784969"/>
    <w:rsid w:val="00787CC7"/>
    <w:rsid w:val="007925D7"/>
    <w:rsid w:val="007A4FA5"/>
    <w:rsid w:val="007A57C2"/>
    <w:rsid w:val="007B0C4E"/>
    <w:rsid w:val="007B11D8"/>
    <w:rsid w:val="007C1F00"/>
    <w:rsid w:val="007C57E5"/>
    <w:rsid w:val="007C6DDE"/>
    <w:rsid w:val="007D0C7D"/>
    <w:rsid w:val="007D0D30"/>
    <w:rsid w:val="007D2803"/>
    <w:rsid w:val="007D28A4"/>
    <w:rsid w:val="007D3C20"/>
    <w:rsid w:val="007D7C0E"/>
    <w:rsid w:val="007E3055"/>
    <w:rsid w:val="007E7BD3"/>
    <w:rsid w:val="007F70B8"/>
    <w:rsid w:val="00805226"/>
    <w:rsid w:val="008055F5"/>
    <w:rsid w:val="00807498"/>
    <w:rsid w:val="00811FC3"/>
    <w:rsid w:val="0081399F"/>
    <w:rsid w:val="00813C4C"/>
    <w:rsid w:val="0081751A"/>
    <w:rsid w:val="0082527B"/>
    <w:rsid w:val="00826597"/>
    <w:rsid w:val="00834A3F"/>
    <w:rsid w:val="008415B2"/>
    <w:rsid w:val="008419F1"/>
    <w:rsid w:val="00842284"/>
    <w:rsid w:val="00855A3A"/>
    <w:rsid w:val="00856907"/>
    <w:rsid w:val="00856D0F"/>
    <w:rsid w:val="008606D9"/>
    <w:rsid w:val="00861DBA"/>
    <w:rsid w:val="0086331E"/>
    <w:rsid w:val="00863C33"/>
    <w:rsid w:val="00864571"/>
    <w:rsid w:val="00871C24"/>
    <w:rsid w:val="0087310E"/>
    <w:rsid w:val="00873F0D"/>
    <w:rsid w:val="0087767D"/>
    <w:rsid w:val="00881BD0"/>
    <w:rsid w:val="0089245A"/>
    <w:rsid w:val="00894610"/>
    <w:rsid w:val="00897CAE"/>
    <w:rsid w:val="008A0656"/>
    <w:rsid w:val="008A365B"/>
    <w:rsid w:val="008A3B35"/>
    <w:rsid w:val="008A4E51"/>
    <w:rsid w:val="008A4F8F"/>
    <w:rsid w:val="008B02B2"/>
    <w:rsid w:val="008B1A34"/>
    <w:rsid w:val="008B1C56"/>
    <w:rsid w:val="008B7878"/>
    <w:rsid w:val="008C0B1F"/>
    <w:rsid w:val="008C50EA"/>
    <w:rsid w:val="008D2E05"/>
    <w:rsid w:val="008D41A8"/>
    <w:rsid w:val="008D466F"/>
    <w:rsid w:val="008D5221"/>
    <w:rsid w:val="008D52D6"/>
    <w:rsid w:val="008D5942"/>
    <w:rsid w:val="008E6760"/>
    <w:rsid w:val="008E72DC"/>
    <w:rsid w:val="008F3653"/>
    <w:rsid w:val="008F5336"/>
    <w:rsid w:val="00904367"/>
    <w:rsid w:val="00904887"/>
    <w:rsid w:val="0091058D"/>
    <w:rsid w:val="00914586"/>
    <w:rsid w:val="00915B54"/>
    <w:rsid w:val="00917B0F"/>
    <w:rsid w:val="009278EB"/>
    <w:rsid w:val="00930057"/>
    <w:rsid w:val="00930F34"/>
    <w:rsid w:val="0093254B"/>
    <w:rsid w:val="0093354F"/>
    <w:rsid w:val="00934008"/>
    <w:rsid w:val="0094486E"/>
    <w:rsid w:val="00952E3B"/>
    <w:rsid w:val="00960C37"/>
    <w:rsid w:val="00960FF7"/>
    <w:rsid w:val="00963F23"/>
    <w:rsid w:val="0096614E"/>
    <w:rsid w:val="0096661F"/>
    <w:rsid w:val="0098337F"/>
    <w:rsid w:val="00983E89"/>
    <w:rsid w:val="00990E2D"/>
    <w:rsid w:val="009944D7"/>
    <w:rsid w:val="009A1A6F"/>
    <w:rsid w:val="009A57BA"/>
    <w:rsid w:val="009A6321"/>
    <w:rsid w:val="009A6AF6"/>
    <w:rsid w:val="009A6D88"/>
    <w:rsid w:val="009A7CD0"/>
    <w:rsid w:val="009C061B"/>
    <w:rsid w:val="009C26EE"/>
    <w:rsid w:val="009D4884"/>
    <w:rsid w:val="009D491A"/>
    <w:rsid w:val="009E0FD6"/>
    <w:rsid w:val="009E6E0C"/>
    <w:rsid w:val="009F29CA"/>
    <w:rsid w:val="009F5B94"/>
    <w:rsid w:val="009F7A89"/>
    <w:rsid w:val="00A006EA"/>
    <w:rsid w:val="00A0146D"/>
    <w:rsid w:val="00A0481A"/>
    <w:rsid w:val="00A04C43"/>
    <w:rsid w:val="00A12196"/>
    <w:rsid w:val="00A1378A"/>
    <w:rsid w:val="00A225EE"/>
    <w:rsid w:val="00A30313"/>
    <w:rsid w:val="00A3603D"/>
    <w:rsid w:val="00A37B51"/>
    <w:rsid w:val="00A4019E"/>
    <w:rsid w:val="00A43626"/>
    <w:rsid w:val="00A4751D"/>
    <w:rsid w:val="00A56D1C"/>
    <w:rsid w:val="00A651C3"/>
    <w:rsid w:val="00A67AE8"/>
    <w:rsid w:val="00A71405"/>
    <w:rsid w:val="00A75CCF"/>
    <w:rsid w:val="00A87984"/>
    <w:rsid w:val="00A9160E"/>
    <w:rsid w:val="00A9572C"/>
    <w:rsid w:val="00A96FDB"/>
    <w:rsid w:val="00A973ED"/>
    <w:rsid w:val="00AA1E62"/>
    <w:rsid w:val="00AA2DD9"/>
    <w:rsid w:val="00AA5650"/>
    <w:rsid w:val="00AC35F4"/>
    <w:rsid w:val="00AC778E"/>
    <w:rsid w:val="00AD73CC"/>
    <w:rsid w:val="00AE1A4D"/>
    <w:rsid w:val="00AE52B0"/>
    <w:rsid w:val="00AE53AB"/>
    <w:rsid w:val="00AF055D"/>
    <w:rsid w:val="00B02629"/>
    <w:rsid w:val="00B03B2F"/>
    <w:rsid w:val="00B03F97"/>
    <w:rsid w:val="00B0468A"/>
    <w:rsid w:val="00B139DF"/>
    <w:rsid w:val="00B21A10"/>
    <w:rsid w:val="00B2296D"/>
    <w:rsid w:val="00B273E5"/>
    <w:rsid w:val="00B34A8B"/>
    <w:rsid w:val="00B45355"/>
    <w:rsid w:val="00B51070"/>
    <w:rsid w:val="00B523B0"/>
    <w:rsid w:val="00B5365E"/>
    <w:rsid w:val="00B65389"/>
    <w:rsid w:val="00B65756"/>
    <w:rsid w:val="00B66728"/>
    <w:rsid w:val="00B70821"/>
    <w:rsid w:val="00B71713"/>
    <w:rsid w:val="00B771D3"/>
    <w:rsid w:val="00B82CA1"/>
    <w:rsid w:val="00B82DA5"/>
    <w:rsid w:val="00B83E74"/>
    <w:rsid w:val="00B956AD"/>
    <w:rsid w:val="00BA14F7"/>
    <w:rsid w:val="00BA6C67"/>
    <w:rsid w:val="00BB343A"/>
    <w:rsid w:val="00BB3B9A"/>
    <w:rsid w:val="00BB5169"/>
    <w:rsid w:val="00BB7777"/>
    <w:rsid w:val="00BC6B54"/>
    <w:rsid w:val="00BD4489"/>
    <w:rsid w:val="00BE445D"/>
    <w:rsid w:val="00BF1654"/>
    <w:rsid w:val="00BF3D21"/>
    <w:rsid w:val="00BF4EF4"/>
    <w:rsid w:val="00BF5C84"/>
    <w:rsid w:val="00C01DC0"/>
    <w:rsid w:val="00C04337"/>
    <w:rsid w:val="00C06808"/>
    <w:rsid w:val="00C10EFE"/>
    <w:rsid w:val="00C11D3A"/>
    <w:rsid w:val="00C15080"/>
    <w:rsid w:val="00C21C24"/>
    <w:rsid w:val="00C246E8"/>
    <w:rsid w:val="00C32CDB"/>
    <w:rsid w:val="00C36491"/>
    <w:rsid w:val="00C42B01"/>
    <w:rsid w:val="00C53849"/>
    <w:rsid w:val="00C53A89"/>
    <w:rsid w:val="00C53CFC"/>
    <w:rsid w:val="00C71678"/>
    <w:rsid w:val="00C71C59"/>
    <w:rsid w:val="00C73962"/>
    <w:rsid w:val="00C74C52"/>
    <w:rsid w:val="00C7736C"/>
    <w:rsid w:val="00C97543"/>
    <w:rsid w:val="00CA1F70"/>
    <w:rsid w:val="00CA3D30"/>
    <w:rsid w:val="00CA5E32"/>
    <w:rsid w:val="00CA7523"/>
    <w:rsid w:val="00CA7DD2"/>
    <w:rsid w:val="00CB446E"/>
    <w:rsid w:val="00CB4958"/>
    <w:rsid w:val="00CC0CA2"/>
    <w:rsid w:val="00CD072A"/>
    <w:rsid w:val="00CD2BEA"/>
    <w:rsid w:val="00CD2EB6"/>
    <w:rsid w:val="00CE5F0A"/>
    <w:rsid w:val="00CF2AFB"/>
    <w:rsid w:val="00CF3942"/>
    <w:rsid w:val="00CF602D"/>
    <w:rsid w:val="00D07F4E"/>
    <w:rsid w:val="00D1135E"/>
    <w:rsid w:val="00D16B99"/>
    <w:rsid w:val="00D204B3"/>
    <w:rsid w:val="00D20573"/>
    <w:rsid w:val="00D211A3"/>
    <w:rsid w:val="00D21C57"/>
    <w:rsid w:val="00D226DE"/>
    <w:rsid w:val="00D25842"/>
    <w:rsid w:val="00D26955"/>
    <w:rsid w:val="00D309C5"/>
    <w:rsid w:val="00D36DE5"/>
    <w:rsid w:val="00D3715F"/>
    <w:rsid w:val="00D377D8"/>
    <w:rsid w:val="00D37C7B"/>
    <w:rsid w:val="00D421FF"/>
    <w:rsid w:val="00D4736B"/>
    <w:rsid w:val="00D50F5B"/>
    <w:rsid w:val="00D52D3A"/>
    <w:rsid w:val="00D5322A"/>
    <w:rsid w:val="00D5366E"/>
    <w:rsid w:val="00D550E6"/>
    <w:rsid w:val="00D57E2B"/>
    <w:rsid w:val="00D609F3"/>
    <w:rsid w:val="00D62A22"/>
    <w:rsid w:val="00D64133"/>
    <w:rsid w:val="00D65E6D"/>
    <w:rsid w:val="00D66F8B"/>
    <w:rsid w:val="00D6770A"/>
    <w:rsid w:val="00D679C2"/>
    <w:rsid w:val="00D71409"/>
    <w:rsid w:val="00D83BFE"/>
    <w:rsid w:val="00D86E3C"/>
    <w:rsid w:val="00D943A2"/>
    <w:rsid w:val="00D9487C"/>
    <w:rsid w:val="00D97CA2"/>
    <w:rsid w:val="00DB2759"/>
    <w:rsid w:val="00DB542B"/>
    <w:rsid w:val="00DB59BC"/>
    <w:rsid w:val="00DB6337"/>
    <w:rsid w:val="00DC385B"/>
    <w:rsid w:val="00DC4B27"/>
    <w:rsid w:val="00DD3E49"/>
    <w:rsid w:val="00DE0AF8"/>
    <w:rsid w:val="00DE2ED9"/>
    <w:rsid w:val="00DE5EEB"/>
    <w:rsid w:val="00DE7080"/>
    <w:rsid w:val="00DF1F0E"/>
    <w:rsid w:val="00DF1FB2"/>
    <w:rsid w:val="00DF247D"/>
    <w:rsid w:val="00DF3B9E"/>
    <w:rsid w:val="00DF481B"/>
    <w:rsid w:val="00DF5773"/>
    <w:rsid w:val="00E110ED"/>
    <w:rsid w:val="00E15242"/>
    <w:rsid w:val="00E21899"/>
    <w:rsid w:val="00E34E9B"/>
    <w:rsid w:val="00E360EC"/>
    <w:rsid w:val="00E701FB"/>
    <w:rsid w:val="00E725B0"/>
    <w:rsid w:val="00E772D5"/>
    <w:rsid w:val="00E80307"/>
    <w:rsid w:val="00E9138B"/>
    <w:rsid w:val="00EA4BBF"/>
    <w:rsid w:val="00EA5156"/>
    <w:rsid w:val="00EA6115"/>
    <w:rsid w:val="00EA63DF"/>
    <w:rsid w:val="00EA73C4"/>
    <w:rsid w:val="00EB1779"/>
    <w:rsid w:val="00EB3E83"/>
    <w:rsid w:val="00EB6779"/>
    <w:rsid w:val="00EC55DE"/>
    <w:rsid w:val="00ED28FE"/>
    <w:rsid w:val="00ED35CD"/>
    <w:rsid w:val="00EF1170"/>
    <w:rsid w:val="00EF440E"/>
    <w:rsid w:val="00F0253B"/>
    <w:rsid w:val="00F1386C"/>
    <w:rsid w:val="00F150DC"/>
    <w:rsid w:val="00F1620B"/>
    <w:rsid w:val="00F214E2"/>
    <w:rsid w:val="00F33FAD"/>
    <w:rsid w:val="00F340C1"/>
    <w:rsid w:val="00F36200"/>
    <w:rsid w:val="00F40343"/>
    <w:rsid w:val="00F405EA"/>
    <w:rsid w:val="00F44C78"/>
    <w:rsid w:val="00F45FFC"/>
    <w:rsid w:val="00F47E4E"/>
    <w:rsid w:val="00F50D51"/>
    <w:rsid w:val="00F520C7"/>
    <w:rsid w:val="00F52AAC"/>
    <w:rsid w:val="00F52B96"/>
    <w:rsid w:val="00F56608"/>
    <w:rsid w:val="00F71B3E"/>
    <w:rsid w:val="00F8061A"/>
    <w:rsid w:val="00F82357"/>
    <w:rsid w:val="00F826F8"/>
    <w:rsid w:val="00F9221E"/>
    <w:rsid w:val="00FA0DF7"/>
    <w:rsid w:val="00FA119F"/>
    <w:rsid w:val="00FA3FD2"/>
    <w:rsid w:val="00FA43B1"/>
    <w:rsid w:val="00FA492A"/>
    <w:rsid w:val="00FA57ED"/>
    <w:rsid w:val="00FB0915"/>
    <w:rsid w:val="00FC5F2F"/>
    <w:rsid w:val="00FE1A0F"/>
    <w:rsid w:val="00FE2E66"/>
    <w:rsid w:val="00FE39C0"/>
    <w:rsid w:val="00FE4A3E"/>
    <w:rsid w:val="00FF7FEE"/>
  </w:rsids>
  <m:mathPr>
    <m:mathFont m:val="Cambria Math"/>
    <m:brkBin m:val="before"/>
    <m:brkBinSub m:val="--"/>
    <m:smallFrac m:val="0"/>
    <m:dispDef/>
    <m:lMargin m:val="0"/>
    <m:rMargin m:val="0"/>
    <m:defJc m:val="centerGroup"/>
    <m:wrapIndent m:val="1440"/>
    <m:intLim m:val="subSup"/>
    <m:naryLim m:val="undOvr"/>
  </m:mathPr>
  <w:themeFontLang w:val="sr-Latn-B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60E19DF"/>
  <w15:docId w15:val="{EF19EFAD-E6A5-41CF-8FC5-005BD976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51070"/>
    <w:pPr>
      <w:tabs>
        <w:tab w:val="left" w:pos="5103"/>
      </w:tabs>
      <w:spacing w:line="278" w:lineRule="auto"/>
      <w:ind w:right="4"/>
      <w:jc w:val="both"/>
    </w:pPr>
    <w:rPr>
      <w:rFonts w:asciiTheme="majorHAnsi" w:eastAsia="Verdana" w:hAnsiTheme="majorHAnsi" w:cs="Times New Roman"/>
      <w:sz w:val="24"/>
      <w:lang w:val="bs-Latn-BA" w:eastAsia="hr"/>
    </w:rPr>
  </w:style>
  <w:style w:type="paragraph" w:styleId="Heading1">
    <w:name w:val="heading 1"/>
    <w:basedOn w:val="Normal"/>
    <w:uiPriority w:val="1"/>
    <w:qFormat/>
    <w:rsid w:val="001F6F2F"/>
    <w:pPr>
      <w:numPr>
        <w:numId w:val="1"/>
      </w:numPr>
      <w:spacing w:before="76" w:line="276" w:lineRule="auto"/>
      <w:outlineLvl w:val="0"/>
    </w:pPr>
    <w:rPr>
      <w:b/>
      <w:bCs/>
      <w:szCs w:val="24"/>
    </w:rPr>
  </w:style>
  <w:style w:type="paragraph" w:styleId="Heading2">
    <w:name w:val="heading 2"/>
    <w:basedOn w:val="Normal"/>
    <w:link w:val="Heading2Char"/>
    <w:uiPriority w:val="1"/>
    <w:qFormat/>
    <w:rsid w:val="005363DF"/>
    <w:pPr>
      <w:outlineLvl w:val="1"/>
    </w:pPr>
    <w:rPr>
      <w:rFonts w:cs="Arial"/>
      <w:b/>
      <w:bCs/>
      <w:szCs w:val="24"/>
    </w:rPr>
  </w:style>
  <w:style w:type="paragraph" w:styleId="Heading3">
    <w:name w:val="heading 3"/>
    <w:basedOn w:val="BodyText"/>
    <w:uiPriority w:val="1"/>
    <w:qFormat/>
    <w:rsid w:val="003E4FA1"/>
    <w:pPr>
      <w:outlineLvl w:val="2"/>
    </w:pPr>
    <w:rPr>
      <w:b/>
    </w:rPr>
  </w:style>
  <w:style w:type="paragraph" w:styleId="Heading4">
    <w:name w:val="heading 4"/>
    <w:basedOn w:val="Normal"/>
    <w:next w:val="Normal"/>
    <w:link w:val="Heading4Char"/>
    <w:uiPriority w:val="9"/>
    <w:unhideWhenUsed/>
    <w:qFormat/>
    <w:rsid w:val="001950F6"/>
    <w:pPr>
      <w:spacing w:line="276" w:lineRule="auto"/>
      <w:jc w:val="left"/>
      <w:outlineLvl w:val="3"/>
    </w:pPr>
    <w:rPr>
      <w:b/>
      <w:sz w:val="18"/>
      <w:szCs w:val="20"/>
    </w:rPr>
  </w:style>
  <w:style w:type="paragraph" w:styleId="Heading5">
    <w:name w:val="heading 5"/>
    <w:basedOn w:val="Normal"/>
    <w:next w:val="Normal"/>
    <w:link w:val="Heading5Char"/>
    <w:uiPriority w:val="9"/>
    <w:semiHidden/>
    <w:unhideWhenUsed/>
    <w:qFormat/>
    <w:rsid w:val="001F6F2F"/>
    <w:pPr>
      <w:keepNext/>
      <w:keepLines/>
      <w:spacing w:before="40"/>
      <w:outlineLvl w:val="4"/>
    </w:pPr>
    <w:rPr>
      <w:rFonts w:eastAsiaTheme="majorEastAsia"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tabs>
        <w:tab w:val="clear" w:pos="5103"/>
      </w:tabs>
      <w:spacing w:before="360"/>
      <w:jc w:val="left"/>
    </w:pPr>
    <w:rPr>
      <w:b/>
      <w:bCs/>
      <w:caps/>
      <w:szCs w:val="24"/>
    </w:rPr>
  </w:style>
  <w:style w:type="paragraph" w:styleId="TOC2">
    <w:name w:val="toc 2"/>
    <w:basedOn w:val="Normal"/>
    <w:uiPriority w:val="39"/>
    <w:qFormat/>
    <w:pPr>
      <w:tabs>
        <w:tab w:val="clear" w:pos="5103"/>
      </w:tabs>
      <w:spacing w:before="240"/>
      <w:jc w:val="left"/>
    </w:pPr>
    <w:rPr>
      <w:rFonts w:asciiTheme="minorHAnsi" w:hAnsiTheme="minorHAnsi" w:cstheme="minorHAnsi"/>
      <w:b/>
      <w:bCs/>
      <w:sz w:val="20"/>
      <w:szCs w:val="20"/>
    </w:rPr>
  </w:style>
  <w:style w:type="paragraph" w:styleId="BodyText">
    <w:name w:val="Body Text"/>
    <w:basedOn w:val="Normal"/>
    <w:link w:val="BodyTextChar"/>
    <w:uiPriority w:val="1"/>
    <w:qFormat/>
    <w:rsid w:val="00240C0D"/>
    <w:pPr>
      <w:spacing w:line="276" w:lineRule="auto"/>
    </w:pPr>
  </w:style>
  <w:style w:type="paragraph" w:styleId="ListParagraph">
    <w:name w:val="List Paragraph"/>
    <w:basedOn w:val="Normal"/>
    <w:uiPriority w:val="34"/>
    <w:qFormat/>
    <w:pPr>
      <w:ind w:left="956" w:hanging="360"/>
    </w:pPr>
  </w:style>
  <w:style w:type="paragraph" w:customStyle="1" w:styleId="TableParagraph">
    <w:name w:val="Table Paragraph"/>
    <w:basedOn w:val="Normal"/>
    <w:uiPriority w:val="1"/>
    <w:qFormat/>
    <w:pPr>
      <w:jc w:val="center"/>
    </w:pPr>
  </w:style>
  <w:style w:type="paragraph" w:styleId="BalloonText">
    <w:name w:val="Balloon Text"/>
    <w:basedOn w:val="Normal"/>
    <w:link w:val="BalloonTextChar"/>
    <w:uiPriority w:val="99"/>
    <w:semiHidden/>
    <w:unhideWhenUsed/>
    <w:rsid w:val="000511AE"/>
    <w:rPr>
      <w:rFonts w:ascii="Tahoma" w:hAnsi="Tahoma" w:cs="Tahoma"/>
      <w:sz w:val="16"/>
      <w:szCs w:val="16"/>
    </w:rPr>
  </w:style>
  <w:style w:type="character" w:customStyle="1" w:styleId="BalloonTextChar">
    <w:name w:val="Balloon Text Char"/>
    <w:basedOn w:val="DefaultParagraphFont"/>
    <w:link w:val="BalloonText"/>
    <w:uiPriority w:val="99"/>
    <w:semiHidden/>
    <w:rsid w:val="000511AE"/>
    <w:rPr>
      <w:rFonts w:ascii="Tahoma" w:eastAsia="Verdana" w:hAnsi="Tahoma" w:cs="Tahoma"/>
      <w:sz w:val="16"/>
      <w:szCs w:val="16"/>
      <w:lang w:val="hr" w:eastAsia="hr"/>
    </w:rPr>
  </w:style>
  <w:style w:type="character" w:customStyle="1" w:styleId="Heading2Char">
    <w:name w:val="Heading 2 Char"/>
    <w:basedOn w:val="DefaultParagraphFont"/>
    <w:link w:val="Heading2"/>
    <w:uiPriority w:val="1"/>
    <w:rsid w:val="005363DF"/>
    <w:rPr>
      <w:rFonts w:asciiTheme="majorHAnsi" w:eastAsia="Verdana" w:hAnsiTheme="majorHAnsi" w:cs="Arial"/>
      <w:b/>
      <w:bCs/>
      <w:sz w:val="24"/>
      <w:szCs w:val="24"/>
      <w:lang w:val="bs-Latn-BA" w:eastAsia="hr"/>
    </w:rPr>
  </w:style>
  <w:style w:type="character" w:customStyle="1" w:styleId="BodyTextChar">
    <w:name w:val="Body Text Char"/>
    <w:basedOn w:val="DefaultParagraphFont"/>
    <w:link w:val="BodyText"/>
    <w:uiPriority w:val="1"/>
    <w:rsid w:val="00240C0D"/>
    <w:rPr>
      <w:rFonts w:asciiTheme="majorHAnsi" w:eastAsia="Verdana" w:hAnsiTheme="majorHAnsi" w:cs="Times New Roman"/>
      <w:lang w:val="bs-Latn-BA" w:eastAsia="hr"/>
    </w:rPr>
  </w:style>
  <w:style w:type="paragraph" w:styleId="Header">
    <w:name w:val="header"/>
    <w:basedOn w:val="Normal"/>
    <w:link w:val="HeaderChar"/>
    <w:uiPriority w:val="99"/>
    <w:unhideWhenUsed/>
    <w:rsid w:val="00960C37"/>
    <w:pPr>
      <w:tabs>
        <w:tab w:val="center" w:pos="4536"/>
        <w:tab w:val="right" w:pos="9072"/>
      </w:tabs>
    </w:pPr>
  </w:style>
  <w:style w:type="character" w:customStyle="1" w:styleId="HeaderChar">
    <w:name w:val="Header Char"/>
    <w:basedOn w:val="DefaultParagraphFont"/>
    <w:link w:val="Header"/>
    <w:uiPriority w:val="99"/>
    <w:rsid w:val="00960C37"/>
    <w:rPr>
      <w:rFonts w:ascii="Verdana" w:eastAsia="Verdana" w:hAnsi="Verdana" w:cs="Times New Roman"/>
      <w:lang w:val="hr" w:eastAsia="hr"/>
    </w:rPr>
  </w:style>
  <w:style w:type="paragraph" w:styleId="Footer">
    <w:name w:val="footer"/>
    <w:basedOn w:val="Normal"/>
    <w:link w:val="FooterChar"/>
    <w:uiPriority w:val="99"/>
    <w:unhideWhenUsed/>
    <w:rsid w:val="00960C37"/>
    <w:pPr>
      <w:tabs>
        <w:tab w:val="center" w:pos="4536"/>
        <w:tab w:val="right" w:pos="9072"/>
      </w:tabs>
    </w:pPr>
  </w:style>
  <w:style w:type="character" w:customStyle="1" w:styleId="FooterChar">
    <w:name w:val="Footer Char"/>
    <w:basedOn w:val="DefaultParagraphFont"/>
    <w:link w:val="Footer"/>
    <w:uiPriority w:val="99"/>
    <w:rsid w:val="00960C37"/>
    <w:rPr>
      <w:rFonts w:ascii="Verdana" w:eastAsia="Verdana" w:hAnsi="Verdana" w:cs="Times New Roman"/>
      <w:lang w:val="hr" w:eastAsia="hr"/>
    </w:rPr>
  </w:style>
  <w:style w:type="paragraph" w:styleId="NormalWeb">
    <w:name w:val="Normal (Web)"/>
    <w:basedOn w:val="Normal"/>
    <w:uiPriority w:val="99"/>
    <w:rsid w:val="003E6CB1"/>
    <w:pPr>
      <w:widowControl/>
      <w:autoSpaceDE/>
      <w:autoSpaceDN/>
      <w:spacing w:before="100" w:beforeAutospacing="1" w:after="100" w:afterAutospacing="1"/>
    </w:pPr>
    <w:rPr>
      <w:rFonts w:ascii="Times New Roman" w:eastAsia="Times New Roman" w:hAnsi="Times New Roman"/>
      <w:color w:val="000000"/>
      <w:szCs w:val="24"/>
      <w:lang w:val="en-US" w:eastAsia="en-US"/>
    </w:rPr>
  </w:style>
  <w:style w:type="character" w:styleId="Hyperlink">
    <w:name w:val="Hyperlink"/>
    <w:uiPriority w:val="99"/>
    <w:unhideWhenUsed/>
    <w:qFormat/>
    <w:rsid w:val="003E6CB1"/>
    <w:rPr>
      <w:color w:val="0000FF"/>
      <w:u w:val="single"/>
    </w:rPr>
  </w:style>
  <w:style w:type="table" w:styleId="MediumGrid3-Accent1">
    <w:name w:val="Medium Grid 3 Accent 1"/>
    <w:basedOn w:val="TableNormal"/>
    <w:uiPriority w:val="69"/>
    <w:rsid w:val="00615643"/>
    <w:pPr>
      <w:widowControl/>
      <w:autoSpaceDE/>
      <w:autoSpaceDN/>
    </w:pPr>
    <w:rPr>
      <w:rFonts w:ascii="Calibri" w:eastAsia="Calibri" w:hAnsi="Calibri" w:cs="Times New Roman"/>
      <w:sz w:val="20"/>
      <w:szCs w:val="20"/>
      <w:lang w:val="bs-Latn-BA" w:eastAsia="bs-Latn-B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tcW w:w="0" w:type="dxa"/>
      <w:shd w:val="clear" w:color="auto" w:fill="D6E6F4" w:themeFill="accent1" w:themeFillTint="3F"/>
    </w:tcPr>
    <w:tblStylePr w:type="firstRow">
      <w:rPr>
        <w:b/>
        <w:i w:val="0"/>
        <w:color w:val="FFFFFF"/>
      </w:rPr>
      <w:tblPr/>
      <w:tcPr>
        <w:tcW w:w="0" w:type="dxa"/>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hemeFill="accent1"/>
        <w:vAlign w:val="top"/>
      </w:tcPr>
    </w:tblStylePr>
    <w:tblStylePr w:type="lastRow">
      <w:rPr>
        <w:b/>
        <w:i w:val="0"/>
        <w:color w:val="FFFFFF"/>
      </w:rPr>
      <w:tblPr/>
      <w:tcPr>
        <w:tcW w:w="0" w:type="dxa"/>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hemeFill="accent1"/>
        <w:vAlign w:val="top"/>
      </w:tcPr>
    </w:tblStylePr>
    <w:tblStylePr w:type="firstCol">
      <w:rPr>
        <w:b/>
        <w:i w:val="0"/>
        <w:color w:val="FFFFFF"/>
      </w:rPr>
      <w:tblPr/>
      <w:tcPr>
        <w:tcW w:w="0" w:type="dxa"/>
        <w:tcBorders>
          <w:left w:val="single" w:sz="8" w:space="0" w:color="FFFFFF"/>
          <w:right w:val="single" w:sz="24" w:space="0" w:color="FFFFFF"/>
          <w:insideH w:val="nil"/>
          <w:insideV w:val="nil"/>
        </w:tcBorders>
        <w:shd w:val="clear" w:color="auto" w:fill="5B9BD5" w:themeFill="accent1"/>
        <w:vAlign w:val="top"/>
      </w:tcPr>
    </w:tblStylePr>
    <w:tblStylePr w:type="lastCol">
      <w:rPr>
        <w:b/>
        <w:i w:val="0"/>
        <w:color w:val="FFFFFF"/>
      </w:rPr>
      <w:tblPr/>
      <w:tcPr>
        <w:tcW w:w="0" w:type="dxa"/>
        <w:tcBorders>
          <w:top w:val="nil"/>
          <w:left w:val="single" w:sz="24" w:space="0" w:color="FFFFFF"/>
          <w:bottom w:val="nil"/>
          <w:right w:val="nil"/>
          <w:insideH w:val="nil"/>
          <w:insideV w:val="nil"/>
        </w:tcBorders>
        <w:shd w:val="clear" w:color="auto" w:fill="5B9BD5" w:themeFill="accent1"/>
        <w:vAlign w:val="top"/>
      </w:tcPr>
    </w:tblStylePr>
    <w:tblStylePr w:type="band1Vert">
      <w:tblPr/>
      <w:tcPr>
        <w:tcW w:w="0" w:type="dxa"/>
        <w:tcBorders>
          <w:top w:val="single" w:sz="8" w:space="0" w:color="FFFFFF"/>
          <w:left w:val="single" w:sz="8" w:space="0" w:color="FFFFFF"/>
          <w:bottom w:val="single" w:sz="8" w:space="0" w:color="FFFFFF"/>
          <w:right w:val="single" w:sz="8" w:space="0" w:color="FFFFFF"/>
          <w:insideH w:val="nil"/>
          <w:insideV w:val="nil"/>
        </w:tcBorders>
        <w:shd w:val="clear" w:color="auto" w:fill="ADCCEA" w:themeFill="accent1" w:themeFillTint="7F"/>
        <w:vAlign w:val="top"/>
      </w:tcPr>
    </w:tblStylePr>
    <w:tblStylePr w:type="band1Horz">
      <w:tblPr/>
      <w:tcPr>
        <w:tcW w:w="0" w:type="dxa"/>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hemeFill="accent1" w:themeFillTint="7F"/>
        <w:vAlign w:val="top"/>
      </w:tcPr>
    </w:tblStylePr>
  </w:style>
  <w:style w:type="paragraph" w:styleId="NoSpacing">
    <w:name w:val="No Spacing"/>
    <w:link w:val="NoSpacingChar"/>
    <w:qFormat/>
    <w:rsid w:val="0053118A"/>
    <w:pPr>
      <w:widowControl/>
      <w:autoSpaceDE/>
      <w:autoSpaceDN/>
    </w:pPr>
    <w:rPr>
      <w:rFonts w:ascii="Calibri" w:eastAsia="Calibri" w:hAnsi="Calibri" w:cs="Times New Roman"/>
    </w:rPr>
  </w:style>
  <w:style w:type="paragraph" w:customStyle="1" w:styleId="Default">
    <w:name w:val="Default"/>
    <w:rsid w:val="00725BE5"/>
    <w:pPr>
      <w:widowControl/>
      <w:adjustRightInd w:val="0"/>
    </w:pPr>
    <w:rPr>
      <w:rFonts w:ascii="Calibri" w:hAnsi="Calibri" w:cs="Calibri"/>
      <w:color w:val="000000"/>
      <w:sz w:val="24"/>
      <w:szCs w:val="24"/>
      <w:lang w:val="en-GB"/>
    </w:rPr>
  </w:style>
  <w:style w:type="paragraph" w:styleId="TOCHeading">
    <w:name w:val="TOC Heading"/>
    <w:basedOn w:val="Heading1"/>
    <w:next w:val="Normal"/>
    <w:uiPriority w:val="39"/>
    <w:unhideWhenUsed/>
    <w:qFormat/>
    <w:rsid w:val="00762B6B"/>
    <w:pPr>
      <w:keepNext/>
      <w:keepLines/>
      <w:widowControl/>
      <w:autoSpaceDE/>
      <w:autoSpaceDN/>
      <w:spacing w:before="240" w:line="259" w:lineRule="auto"/>
      <w:ind w:left="0" w:firstLine="0"/>
      <w:outlineLvl w:val="9"/>
    </w:pPr>
    <w:rPr>
      <w:rFonts w:eastAsiaTheme="majorEastAsia" w:cstheme="majorBidi"/>
      <w:b w:val="0"/>
      <w:bCs w:val="0"/>
      <w:color w:val="2E74B5" w:themeColor="accent1" w:themeShade="BF"/>
      <w:sz w:val="32"/>
      <w:szCs w:val="32"/>
      <w:lang w:val="en-US" w:eastAsia="en-US"/>
    </w:rPr>
  </w:style>
  <w:style w:type="paragraph" w:styleId="TOC3">
    <w:name w:val="toc 3"/>
    <w:basedOn w:val="Normal"/>
    <w:next w:val="Normal"/>
    <w:autoRedefine/>
    <w:uiPriority w:val="39"/>
    <w:unhideWhenUsed/>
    <w:rsid w:val="004873D5"/>
    <w:pPr>
      <w:tabs>
        <w:tab w:val="clear" w:pos="5103"/>
      </w:tabs>
      <w:ind w:left="240"/>
      <w:jc w:val="left"/>
    </w:pPr>
    <w:rPr>
      <w:rFonts w:asciiTheme="minorHAnsi" w:hAnsiTheme="minorHAnsi" w:cstheme="minorHAnsi"/>
      <w:sz w:val="20"/>
      <w:szCs w:val="20"/>
    </w:rPr>
  </w:style>
  <w:style w:type="character" w:styleId="Strong">
    <w:name w:val="Strong"/>
    <w:basedOn w:val="DefaultParagraphFont"/>
    <w:uiPriority w:val="22"/>
    <w:qFormat/>
    <w:rsid w:val="00D16B99"/>
    <w:rPr>
      <w:b/>
      <w:bCs/>
    </w:rPr>
  </w:style>
  <w:style w:type="character" w:styleId="CommentReference">
    <w:name w:val="annotation reference"/>
    <w:basedOn w:val="DefaultParagraphFont"/>
    <w:semiHidden/>
    <w:unhideWhenUsed/>
    <w:rsid w:val="0033647D"/>
    <w:rPr>
      <w:sz w:val="16"/>
      <w:szCs w:val="16"/>
    </w:rPr>
  </w:style>
  <w:style w:type="paragraph" w:styleId="CommentText">
    <w:name w:val="annotation text"/>
    <w:basedOn w:val="Normal"/>
    <w:link w:val="CommentTextChar"/>
    <w:unhideWhenUsed/>
    <w:rsid w:val="0033647D"/>
    <w:rPr>
      <w:sz w:val="20"/>
      <w:szCs w:val="20"/>
    </w:rPr>
  </w:style>
  <w:style w:type="character" w:customStyle="1" w:styleId="CommentTextChar">
    <w:name w:val="Comment Text Char"/>
    <w:basedOn w:val="DefaultParagraphFont"/>
    <w:link w:val="CommentText"/>
    <w:rsid w:val="0033647D"/>
    <w:rPr>
      <w:rFonts w:ascii="Verdana" w:eastAsia="Verdana" w:hAnsi="Verdana" w:cs="Times New Roman"/>
      <w:sz w:val="20"/>
      <w:szCs w:val="20"/>
      <w:lang w:val="hr" w:eastAsia="hr"/>
    </w:rPr>
  </w:style>
  <w:style w:type="paragraph" w:styleId="CommentSubject">
    <w:name w:val="annotation subject"/>
    <w:basedOn w:val="CommentText"/>
    <w:next w:val="CommentText"/>
    <w:link w:val="CommentSubjectChar"/>
    <w:uiPriority w:val="99"/>
    <w:semiHidden/>
    <w:unhideWhenUsed/>
    <w:rsid w:val="0033647D"/>
    <w:rPr>
      <w:b/>
      <w:bCs/>
    </w:rPr>
  </w:style>
  <w:style w:type="character" w:customStyle="1" w:styleId="CommentSubjectChar">
    <w:name w:val="Comment Subject Char"/>
    <w:basedOn w:val="CommentTextChar"/>
    <w:link w:val="CommentSubject"/>
    <w:uiPriority w:val="99"/>
    <w:semiHidden/>
    <w:rsid w:val="0033647D"/>
    <w:rPr>
      <w:rFonts w:ascii="Verdana" w:eastAsia="Verdana" w:hAnsi="Verdana" w:cs="Times New Roman"/>
      <w:b/>
      <w:bCs/>
      <w:sz w:val="20"/>
      <w:szCs w:val="20"/>
      <w:lang w:val="hr" w:eastAsia="hr"/>
    </w:rPr>
  </w:style>
  <w:style w:type="table" w:styleId="TableGrid">
    <w:name w:val="Table Grid"/>
    <w:basedOn w:val="TableNormal"/>
    <w:uiPriority w:val="39"/>
    <w:rsid w:val="008C5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F405EA"/>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6Colorful-Accent11">
    <w:name w:val="Grid Table 6 Colorful - Accent 11"/>
    <w:basedOn w:val="TableNormal"/>
    <w:uiPriority w:val="51"/>
    <w:rsid w:val="00F405EA"/>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nhideWhenUsed/>
    <w:rsid w:val="00F405EA"/>
    <w:rPr>
      <w:sz w:val="20"/>
      <w:szCs w:val="20"/>
    </w:rPr>
  </w:style>
  <w:style w:type="character" w:customStyle="1" w:styleId="FootnoteTextChar">
    <w:name w:val="Footnote Text Char"/>
    <w:basedOn w:val="DefaultParagraphFont"/>
    <w:link w:val="FootnoteText"/>
    <w:rsid w:val="00F405EA"/>
    <w:rPr>
      <w:rFonts w:ascii="Verdana" w:eastAsia="Verdana" w:hAnsi="Verdana" w:cs="Times New Roman"/>
      <w:sz w:val="20"/>
      <w:szCs w:val="20"/>
      <w:lang w:val="hr" w:eastAsia="hr"/>
    </w:rPr>
  </w:style>
  <w:style w:type="character" w:styleId="FootnoteReference">
    <w:name w:val="footnote reference"/>
    <w:basedOn w:val="DefaultParagraphFont"/>
    <w:semiHidden/>
    <w:unhideWhenUsed/>
    <w:rsid w:val="00F405EA"/>
    <w:rPr>
      <w:vertAlign w:val="superscript"/>
    </w:rPr>
  </w:style>
  <w:style w:type="paragraph" w:styleId="Title">
    <w:name w:val="Title"/>
    <w:basedOn w:val="Normal"/>
    <w:next w:val="Normal"/>
    <w:link w:val="TitleChar"/>
    <w:uiPriority w:val="10"/>
    <w:qFormat/>
    <w:rsid w:val="00735371"/>
    <w:pPr>
      <w:widowControl/>
      <w:pBdr>
        <w:bottom w:val="single" w:sz="8" w:space="4" w:color="5B9BD5" w:themeColor="accent1"/>
      </w:pBdr>
      <w:autoSpaceDE/>
      <w:autoSpaceDN/>
      <w:spacing w:after="300"/>
      <w:contextualSpacing/>
    </w:pPr>
    <w:rPr>
      <w:rFonts w:eastAsiaTheme="majorEastAsia" w:cstheme="majorBidi"/>
      <w:noProof/>
      <w:color w:val="323E4F"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735371"/>
    <w:rPr>
      <w:rFonts w:asciiTheme="majorHAnsi" w:eastAsiaTheme="majorEastAsia" w:hAnsiTheme="majorHAnsi" w:cstheme="majorBidi"/>
      <w:noProof/>
      <w:color w:val="323E4F" w:themeColor="text2" w:themeShade="BF"/>
      <w:spacing w:val="5"/>
      <w:kern w:val="28"/>
      <w:sz w:val="52"/>
      <w:szCs w:val="52"/>
    </w:rPr>
  </w:style>
  <w:style w:type="character" w:customStyle="1" w:styleId="Heading5Char">
    <w:name w:val="Heading 5 Char"/>
    <w:basedOn w:val="DefaultParagraphFont"/>
    <w:link w:val="Heading5"/>
    <w:uiPriority w:val="9"/>
    <w:semiHidden/>
    <w:rsid w:val="001F6F2F"/>
    <w:rPr>
      <w:rFonts w:asciiTheme="majorHAnsi" w:eastAsiaTheme="majorEastAsia" w:hAnsiTheme="majorHAnsi" w:cstheme="majorBidi"/>
      <w:color w:val="2E74B5" w:themeColor="accent1" w:themeShade="BF"/>
      <w:lang w:val="bs-Latn-BA" w:eastAsia="hr"/>
    </w:rPr>
  </w:style>
  <w:style w:type="character" w:styleId="FollowedHyperlink">
    <w:name w:val="FollowedHyperlink"/>
    <w:basedOn w:val="DefaultParagraphFont"/>
    <w:uiPriority w:val="99"/>
    <w:semiHidden/>
    <w:unhideWhenUsed/>
    <w:rsid w:val="001F6F2F"/>
    <w:rPr>
      <w:color w:val="954F72" w:themeColor="followedHyperlink"/>
      <w:u w:val="single"/>
    </w:rPr>
  </w:style>
  <w:style w:type="paragraph" w:styleId="TOC4">
    <w:name w:val="toc 4"/>
    <w:basedOn w:val="Normal"/>
    <w:next w:val="Normal"/>
    <w:autoRedefine/>
    <w:uiPriority w:val="39"/>
    <w:unhideWhenUsed/>
    <w:rsid w:val="00240C0D"/>
    <w:pPr>
      <w:tabs>
        <w:tab w:val="clear" w:pos="5103"/>
      </w:tabs>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240C0D"/>
    <w:pPr>
      <w:tabs>
        <w:tab w:val="clear" w:pos="5103"/>
      </w:tabs>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240C0D"/>
    <w:pPr>
      <w:tabs>
        <w:tab w:val="clear" w:pos="5103"/>
      </w:tabs>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240C0D"/>
    <w:pPr>
      <w:tabs>
        <w:tab w:val="clear" w:pos="5103"/>
      </w:tabs>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240C0D"/>
    <w:pPr>
      <w:tabs>
        <w:tab w:val="clear" w:pos="5103"/>
      </w:tabs>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240C0D"/>
    <w:pPr>
      <w:tabs>
        <w:tab w:val="clear" w:pos="5103"/>
      </w:tabs>
      <w:ind w:left="1680"/>
      <w:jc w:val="left"/>
    </w:pPr>
    <w:rPr>
      <w:rFonts w:asciiTheme="minorHAnsi" w:hAnsiTheme="minorHAnsi" w:cstheme="minorHAnsi"/>
      <w:sz w:val="20"/>
      <w:szCs w:val="20"/>
    </w:rPr>
  </w:style>
  <w:style w:type="paragraph" w:customStyle="1" w:styleId="Normal1">
    <w:name w:val="Normal1"/>
    <w:basedOn w:val="Normal"/>
    <w:rsid w:val="00CD072A"/>
    <w:pPr>
      <w:widowControl/>
      <w:tabs>
        <w:tab w:val="clear" w:pos="5103"/>
      </w:tabs>
      <w:autoSpaceDE/>
      <w:autoSpaceDN/>
      <w:spacing w:before="100" w:beforeAutospacing="1" w:after="100" w:afterAutospacing="1" w:line="240" w:lineRule="auto"/>
      <w:ind w:right="0"/>
      <w:jc w:val="left"/>
    </w:pPr>
    <w:rPr>
      <w:rFonts w:ascii="Times New Roman" w:eastAsia="Times New Roman" w:hAnsi="Times New Roman"/>
      <w:szCs w:val="24"/>
      <w:lang w:val="en-GB" w:eastAsia="en-GB"/>
    </w:rPr>
  </w:style>
  <w:style w:type="table" w:customStyle="1" w:styleId="TableGridLight1">
    <w:name w:val="Table Grid Light1"/>
    <w:basedOn w:val="TableNormal"/>
    <w:uiPriority w:val="40"/>
    <w:rsid w:val="00CD07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rsid w:val="00CD072A"/>
  </w:style>
  <w:style w:type="table" w:customStyle="1" w:styleId="GridTable4-Accent11">
    <w:name w:val="Grid Table 4 - Accent 11"/>
    <w:basedOn w:val="TableNormal"/>
    <w:uiPriority w:val="49"/>
    <w:rsid w:val="007552A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0E2A5A"/>
    <w:pPr>
      <w:widowControl/>
      <w:autoSpaceDE/>
      <w:autoSpaceDN/>
    </w:pPr>
    <w:rPr>
      <w:rFonts w:asciiTheme="majorHAnsi" w:eastAsia="Verdana" w:hAnsiTheme="majorHAnsi" w:cs="Times New Roman"/>
      <w:lang w:val="bs-Latn-BA" w:eastAsia="hr"/>
    </w:rPr>
  </w:style>
  <w:style w:type="character" w:customStyle="1" w:styleId="Heading4Char">
    <w:name w:val="Heading 4 Char"/>
    <w:basedOn w:val="DefaultParagraphFont"/>
    <w:link w:val="Heading4"/>
    <w:uiPriority w:val="9"/>
    <w:rsid w:val="001950F6"/>
    <w:rPr>
      <w:rFonts w:asciiTheme="majorHAnsi" w:eastAsia="Verdana" w:hAnsiTheme="majorHAnsi" w:cs="Times New Roman"/>
      <w:b/>
      <w:sz w:val="18"/>
      <w:szCs w:val="20"/>
      <w:lang w:val="bs-Latn-BA" w:eastAsia="hr"/>
    </w:rPr>
  </w:style>
  <w:style w:type="character" w:customStyle="1" w:styleId="subtitle2">
    <w:name w:val="subtitle2"/>
    <w:basedOn w:val="DefaultParagraphFont"/>
    <w:rsid w:val="00ED28FE"/>
  </w:style>
  <w:style w:type="character" w:customStyle="1" w:styleId="markedcontent">
    <w:name w:val="markedcontent"/>
    <w:basedOn w:val="DefaultParagraphFont"/>
    <w:rsid w:val="00ED28FE"/>
  </w:style>
  <w:style w:type="character" w:customStyle="1" w:styleId="highlight">
    <w:name w:val="highlight"/>
    <w:basedOn w:val="DefaultParagraphFont"/>
    <w:rsid w:val="00ED28FE"/>
  </w:style>
  <w:style w:type="table" w:styleId="ListTable4-Accent6">
    <w:name w:val="List Table 4 Accent 6"/>
    <w:basedOn w:val="TableNormal"/>
    <w:uiPriority w:val="49"/>
    <w:rsid w:val="00ED28F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mefajla">
    <w:name w:val="imefajla"/>
    <w:basedOn w:val="DefaultParagraphFont"/>
    <w:rsid w:val="006671BC"/>
  </w:style>
  <w:style w:type="table" w:styleId="ListTable4-Accent5">
    <w:name w:val="List Table 4 Accent 5"/>
    <w:basedOn w:val="TableNormal"/>
    <w:uiPriority w:val="49"/>
    <w:rsid w:val="000B3FC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SpacingChar">
    <w:name w:val="No Spacing Char"/>
    <w:link w:val="NoSpacing"/>
    <w:rsid w:val="009F7A89"/>
    <w:rPr>
      <w:rFonts w:ascii="Calibri" w:eastAsia="Calibri" w:hAnsi="Calibri" w:cs="Times New Roman"/>
    </w:rPr>
  </w:style>
  <w:style w:type="table" w:styleId="GridTable4-Accent5">
    <w:name w:val="Grid Table 4 Accent 5"/>
    <w:basedOn w:val="TableNormal"/>
    <w:uiPriority w:val="49"/>
    <w:rsid w:val="002D2EA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postcats">
    <w:name w:val="post_cats"/>
    <w:basedOn w:val="Normal"/>
    <w:rsid w:val="000B31D6"/>
    <w:pPr>
      <w:widowControl/>
      <w:tabs>
        <w:tab w:val="clear" w:pos="5103"/>
      </w:tabs>
      <w:autoSpaceDE/>
      <w:autoSpaceDN/>
      <w:spacing w:before="100" w:beforeAutospacing="1" w:after="100" w:afterAutospacing="1" w:line="240" w:lineRule="auto"/>
      <w:ind w:right="0"/>
      <w:jc w:val="left"/>
    </w:pPr>
    <w:rPr>
      <w:rFonts w:ascii="Times New Roman" w:eastAsia="Times New Roman" w:hAnsi="Times New Roman"/>
      <w:szCs w:val="24"/>
      <w:lang w:val="en-US" w:eastAsia="en-US"/>
    </w:rPr>
  </w:style>
  <w:style w:type="character" w:customStyle="1" w:styleId="galleria-current">
    <w:name w:val="galleria-current"/>
    <w:basedOn w:val="DefaultParagraphFont"/>
    <w:rsid w:val="000B31D6"/>
  </w:style>
  <w:style w:type="character" w:customStyle="1" w:styleId="galleria-total">
    <w:name w:val="galleria-total"/>
    <w:basedOn w:val="DefaultParagraphFont"/>
    <w:rsid w:val="000B31D6"/>
  </w:style>
  <w:style w:type="character" w:styleId="Emphasis">
    <w:name w:val="Emphasis"/>
    <w:basedOn w:val="DefaultParagraphFont"/>
    <w:uiPriority w:val="20"/>
    <w:qFormat/>
    <w:rsid w:val="000B31D6"/>
    <w:rPr>
      <w:i/>
      <w:iCs/>
    </w:rPr>
  </w:style>
  <w:style w:type="table" w:styleId="GridTable5Dark-Accent5">
    <w:name w:val="Grid Table 5 Dark Accent 5"/>
    <w:basedOn w:val="TableNormal"/>
    <w:uiPriority w:val="50"/>
    <w:rsid w:val="003D02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relative">
    <w:name w:val="relative"/>
    <w:basedOn w:val="DefaultParagraphFont"/>
    <w:rsid w:val="0018400C"/>
  </w:style>
  <w:style w:type="character" w:customStyle="1" w:styleId="published">
    <w:name w:val="published"/>
    <w:basedOn w:val="DefaultParagraphFont"/>
    <w:rsid w:val="00D550E6"/>
  </w:style>
  <w:style w:type="table" w:styleId="GridTable3-Accent1">
    <w:name w:val="Grid Table 3 Accent 1"/>
    <w:basedOn w:val="TableNormal"/>
    <w:uiPriority w:val="48"/>
    <w:rsid w:val="000F23AE"/>
    <w:pPr>
      <w:widowControl/>
      <w:autoSpaceDE/>
      <w:autoSpaceDN/>
    </w:pPr>
    <w:rPr>
      <w:rFonts w:ascii="Calibri" w:eastAsia="Calibri" w:hAnsi="Calibri" w:cs="Calibri"/>
      <w:lang w:val="bs-Latn-BA"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9057">
      <w:bodyDiv w:val="1"/>
      <w:marLeft w:val="0"/>
      <w:marRight w:val="0"/>
      <w:marTop w:val="0"/>
      <w:marBottom w:val="0"/>
      <w:divBdr>
        <w:top w:val="none" w:sz="0" w:space="0" w:color="auto"/>
        <w:left w:val="none" w:sz="0" w:space="0" w:color="auto"/>
        <w:bottom w:val="none" w:sz="0" w:space="0" w:color="auto"/>
        <w:right w:val="none" w:sz="0" w:space="0" w:color="auto"/>
      </w:divBdr>
    </w:div>
    <w:div w:id="82342165">
      <w:bodyDiv w:val="1"/>
      <w:marLeft w:val="0"/>
      <w:marRight w:val="0"/>
      <w:marTop w:val="0"/>
      <w:marBottom w:val="0"/>
      <w:divBdr>
        <w:top w:val="none" w:sz="0" w:space="0" w:color="auto"/>
        <w:left w:val="none" w:sz="0" w:space="0" w:color="auto"/>
        <w:bottom w:val="none" w:sz="0" w:space="0" w:color="auto"/>
        <w:right w:val="none" w:sz="0" w:space="0" w:color="auto"/>
      </w:divBdr>
    </w:div>
    <w:div w:id="87508468">
      <w:bodyDiv w:val="1"/>
      <w:marLeft w:val="0"/>
      <w:marRight w:val="0"/>
      <w:marTop w:val="0"/>
      <w:marBottom w:val="0"/>
      <w:divBdr>
        <w:top w:val="none" w:sz="0" w:space="0" w:color="auto"/>
        <w:left w:val="none" w:sz="0" w:space="0" w:color="auto"/>
        <w:bottom w:val="none" w:sz="0" w:space="0" w:color="auto"/>
        <w:right w:val="none" w:sz="0" w:space="0" w:color="auto"/>
      </w:divBdr>
    </w:div>
    <w:div w:id="88353604">
      <w:bodyDiv w:val="1"/>
      <w:marLeft w:val="0"/>
      <w:marRight w:val="0"/>
      <w:marTop w:val="0"/>
      <w:marBottom w:val="0"/>
      <w:divBdr>
        <w:top w:val="none" w:sz="0" w:space="0" w:color="auto"/>
        <w:left w:val="none" w:sz="0" w:space="0" w:color="auto"/>
        <w:bottom w:val="none" w:sz="0" w:space="0" w:color="auto"/>
        <w:right w:val="none" w:sz="0" w:space="0" w:color="auto"/>
      </w:divBdr>
    </w:div>
    <w:div w:id="94904591">
      <w:bodyDiv w:val="1"/>
      <w:marLeft w:val="0"/>
      <w:marRight w:val="0"/>
      <w:marTop w:val="0"/>
      <w:marBottom w:val="0"/>
      <w:divBdr>
        <w:top w:val="none" w:sz="0" w:space="0" w:color="auto"/>
        <w:left w:val="none" w:sz="0" w:space="0" w:color="auto"/>
        <w:bottom w:val="none" w:sz="0" w:space="0" w:color="auto"/>
        <w:right w:val="none" w:sz="0" w:space="0" w:color="auto"/>
      </w:divBdr>
    </w:div>
    <w:div w:id="107504621">
      <w:bodyDiv w:val="1"/>
      <w:marLeft w:val="0"/>
      <w:marRight w:val="0"/>
      <w:marTop w:val="0"/>
      <w:marBottom w:val="0"/>
      <w:divBdr>
        <w:top w:val="none" w:sz="0" w:space="0" w:color="auto"/>
        <w:left w:val="none" w:sz="0" w:space="0" w:color="auto"/>
        <w:bottom w:val="none" w:sz="0" w:space="0" w:color="auto"/>
        <w:right w:val="none" w:sz="0" w:space="0" w:color="auto"/>
      </w:divBdr>
    </w:div>
    <w:div w:id="149104314">
      <w:bodyDiv w:val="1"/>
      <w:marLeft w:val="0"/>
      <w:marRight w:val="0"/>
      <w:marTop w:val="0"/>
      <w:marBottom w:val="0"/>
      <w:divBdr>
        <w:top w:val="none" w:sz="0" w:space="0" w:color="auto"/>
        <w:left w:val="none" w:sz="0" w:space="0" w:color="auto"/>
        <w:bottom w:val="none" w:sz="0" w:space="0" w:color="auto"/>
        <w:right w:val="none" w:sz="0" w:space="0" w:color="auto"/>
      </w:divBdr>
    </w:div>
    <w:div w:id="161170070">
      <w:bodyDiv w:val="1"/>
      <w:marLeft w:val="0"/>
      <w:marRight w:val="0"/>
      <w:marTop w:val="0"/>
      <w:marBottom w:val="0"/>
      <w:divBdr>
        <w:top w:val="none" w:sz="0" w:space="0" w:color="auto"/>
        <w:left w:val="none" w:sz="0" w:space="0" w:color="auto"/>
        <w:bottom w:val="none" w:sz="0" w:space="0" w:color="auto"/>
        <w:right w:val="none" w:sz="0" w:space="0" w:color="auto"/>
      </w:divBdr>
    </w:div>
    <w:div w:id="168106286">
      <w:bodyDiv w:val="1"/>
      <w:marLeft w:val="0"/>
      <w:marRight w:val="0"/>
      <w:marTop w:val="0"/>
      <w:marBottom w:val="0"/>
      <w:divBdr>
        <w:top w:val="none" w:sz="0" w:space="0" w:color="auto"/>
        <w:left w:val="none" w:sz="0" w:space="0" w:color="auto"/>
        <w:bottom w:val="none" w:sz="0" w:space="0" w:color="auto"/>
        <w:right w:val="none" w:sz="0" w:space="0" w:color="auto"/>
      </w:divBdr>
    </w:div>
    <w:div w:id="170605063">
      <w:bodyDiv w:val="1"/>
      <w:marLeft w:val="0"/>
      <w:marRight w:val="0"/>
      <w:marTop w:val="0"/>
      <w:marBottom w:val="0"/>
      <w:divBdr>
        <w:top w:val="none" w:sz="0" w:space="0" w:color="auto"/>
        <w:left w:val="none" w:sz="0" w:space="0" w:color="auto"/>
        <w:bottom w:val="none" w:sz="0" w:space="0" w:color="auto"/>
        <w:right w:val="none" w:sz="0" w:space="0" w:color="auto"/>
      </w:divBdr>
      <w:divsChild>
        <w:div w:id="46759845">
          <w:marLeft w:val="0"/>
          <w:marRight w:val="0"/>
          <w:marTop w:val="0"/>
          <w:marBottom w:val="0"/>
          <w:divBdr>
            <w:top w:val="none" w:sz="0" w:space="0" w:color="auto"/>
            <w:left w:val="none" w:sz="0" w:space="0" w:color="auto"/>
            <w:bottom w:val="none" w:sz="0" w:space="0" w:color="auto"/>
            <w:right w:val="none" w:sz="0" w:space="0" w:color="auto"/>
          </w:divBdr>
          <w:divsChild>
            <w:div w:id="637422691">
              <w:marLeft w:val="0"/>
              <w:marRight w:val="0"/>
              <w:marTop w:val="0"/>
              <w:marBottom w:val="0"/>
              <w:divBdr>
                <w:top w:val="none" w:sz="0" w:space="0" w:color="auto"/>
                <w:left w:val="none" w:sz="0" w:space="0" w:color="auto"/>
                <w:bottom w:val="none" w:sz="0" w:space="0" w:color="auto"/>
                <w:right w:val="none" w:sz="0" w:space="0" w:color="auto"/>
              </w:divBdr>
              <w:divsChild>
                <w:div w:id="1482305624">
                  <w:marLeft w:val="0"/>
                  <w:marRight w:val="0"/>
                  <w:marTop w:val="0"/>
                  <w:marBottom w:val="0"/>
                  <w:divBdr>
                    <w:top w:val="none" w:sz="0" w:space="0" w:color="auto"/>
                    <w:left w:val="none" w:sz="0" w:space="0" w:color="auto"/>
                    <w:bottom w:val="none" w:sz="0" w:space="0" w:color="auto"/>
                    <w:right w:val="none" w:sz="0" w:space="0" w:color="auto"/>
                  </w:divBdr>
                  <w:divsChild>
                    <w:div w:id="2113087119">
                      <w:marLeft w:val="0"/>
                      <w:marRight w:val="0"/>
                      <w:marTop w:val="0"/>
                      <w:marBottom w:val="0"/>
                      <w:divBdr>
                        <w:top w:val="none" w:sz="0" w:space="0" w:color="auto"/>
                        <w:left w:val="none" w:sz="0" w:space="0" w:color="auto"/>
                        <w:bottom w:val="none" w:sz="0" w:space="0" w:color="auto"/>
                        <w:right w:val="none" w:sz="0" w:space="0" w:color="auto"/>
                      </w:divBdr>
                      <w:divsChild>
                        <w:div w:id="1190728498">
                          <w:marLeft w:val="0"/>
                          <w:marRight w:val="0"/>
                          <w:marTop w:val="0"/>
                          <w:marBottom w:val="0"/>
                          <w:divBdr>
                            <w:top w:val="none" w:sz="0" w:space="0" w:color="auto"/>
                            <w:left w:val="none" w:sz="0" w:space="0" w:color="auto"/>
                            <w:bottom w:val="none" w:sz="0" w:space="0" w:color="auto"/>
                            <w:right w:val="none" w:sz="0" w:space="0" w:color="auto"/>
                          </w:divBdr>
                          <w:divsChild>
                            <w:div w:id="113575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372317">
          <w:marLeft w:val="0"/>
          <w:marRight w:val="0"/>
          <w:marTop w:val="0"/>
          <w:marBottom w:val="0"/>
          <w:divBdr>
            <w:top w:val="none" w:sz="0" w:space="0" w:color="auto"/>
            <w:left w:val="none" w:sz="0" w:space="0" w:color="auto"/>
            <w:bottom w:val="none" w:sz="0" w:space="0" w:color="auto"/>
            <w:right w:val="none" w:sz="0" w:space="0" w:color="auto"/>
          </w:divBdr>
        </w:div>
        <w:div w:id="797063731">
          <w:marLeft w:val="0"/>
          <w:marRight w:val="0"/>
          <w:marTop w:val="0"/>
          <w:marBottom w:val="0"/>
          <w:divBdr>
            <w:top w:val="none" w:sz="0" w:space="0" w:color="auto"/>
            <w:left w:val="none" w:sz="0" w:space="0" w:color="auto"/>
            <w:bottom w:val="none" w:sz="0" w:space="0" w:color="auto"/>
            <w:right w:val="none" w:sz="0" w:space="0" w:color="auto"/>
          </w:divBdr>
          <w:divsChild>
            <w:div w:id="1091119665">
              <w:marLeft w:val="0"/>
              <w:marRight w:val="0"/>
              <w:marTop w:val="0"/>
              <w:marBottom w:val="0"/>
              <w:divBdr>
                <w:top w:val="none" w:sz="0" w:space="0" w:color="auto"/>
                <w:left w:val="none" w:sz="0" w:space="0" w:color="auto"/>
                <w:bottom w:val="none" w:sz="0" w:space="0" w:color="auto"/>
                <w:right w:val="none" w:sz="0" w:space="0" w:color="auto"/>
              </w:divBdr>
            </w:div>
          </w:divsChild>
        </w:div>
        <w:div w:id="1631978053">
          <w:marLeft w:val="0"/>
          <w:marRight w:val="0"/>
          <w:marTop w:val="0"/>
          <w:marBottom w:val="0"/>
          <w:divBdr>
            <w:top w:val="none" w:sz="0" w:space="0" w:color="auto"/>
            <w:left w:val="none" w:sz="0" w:space="0" w:color="auto"/>
            <w:bottom w:val="none" w:sz="0" w:space="0" w:color="auto"/>
            <w:right w:val="none" w:sz="0" w:space="0" w:color="auto"/>
          </w:divBdr>
          <w:divsChild>
            <w:div w:id="183903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4487">
      <w:bodyDiv w:val="1"/>
      <w:marLeft w:val="0"/>
      <w:marRight w:val="0"/>
      <w:marTop w:val="0"/>
      <w:marBottom w:val="0"/>
      <w:divBdr>
        <w:top w:val="none" w:sz="0" w:space="0" w:color="auto"/>
        <w:left w:val="none" w:sz="0" w:space="0" w:color="auto"/>
        <w:bottom w:val="none" w:sz="0" w:space="0" w:color="auto"/>
        <w:right w:val="none" w:sz="0" w:space="0" w:color="auto"/>
      </w:divBdr>
    </w:div>
    <w:div w:id="245040594">
      <w:bodyDiv w:val="1"/>
      <w:marLeft w:val="0"/>
      <w:marRight w:val="0"/>
      <w:marTop w:val="0"/>
      <w:marBottom w:val="0"/>
      <w:divBdr>
        <w:top w:val="none" w:sz="0" w:space="0" w:color="auto"/>
        <w:left w:val="none" w:sz="0" w:space="0" w:color="auto"/>
        <w:bottom w:val="none" w:sz="0" w:space="0" w:color="auto"/>
        <w:right w:val="none" w:sz="0" w:space="0" w:color="auto"/>
      </w:divBdr>
    </w:div>
    <w:div w:id="267858295">
      <w:bodyDiv w:val="1"/>
      <w:marLeft w:val="0"/>
      <w:marRight w:val="0"/>
      <w:marTop w:val="0"/>
      <w:marBottom w:val="0"/>
      <w:divBdr>
        <w:top w:val="none" w:sz="0" w:space="0" w:color="auto"/>
        <w:left w:val="none" w:sz="0" w:space="0" w:color="auto"/>
        <w:bottom w:val="none" w:sz="0" w:space="0" w:color="auto"/>
        <w:right w:val="none" w:sz="0" w:space="0" w:color="auto"/>
      </w:divBdr>
    </w:div>
    <w:div w:id="268851007">
      <w:bodyDiv w:val="1"/>
      <w:marLeft w:val="0"/>
      <w:marRight w:val="0"/>
      <w:marTop w:val="0"/>
      <w:marBottom w:val="0"/>
      <w:divBdr>
        <w:top w:val="none" w:sz="0" w:space="0" w:color="auto"/>
        <w:left w:val="none" w:sz="0" w:space="0" w:color="auto"/>
        <w:bottom w:val="none" w:sz="0" w:space="0" w:color="auto"/>
        <w:right w:val="none" w:sz="0" w:space="0" w:color="auto"/>
      </w:divBdr>
    </w:div>
    <w:div w:id="269972321">
      <w:bodyDiv w:val="1"/>
      <w:marLeft w:val="0"/>
      <w:marRight w:val="0"/>
      <w:marTop w:val="0"/>
      <w:marBottom w:val="0"/>
      <w:divBdr>
        <w:top w:val="none" w:sz="0" w:space="0" w:color="auto"/>
        <w:left w:val="none" w:sz="0" w:space="0" w:color="auto"/>
        <w:bottom w:val="none" w:sz="0" w:space="0" w:color="auto"/>
        <w:right w:val="none" w:sz="0" w:space="0" w:color="auto"/>
      </w:divBdr>
    </w:div>
    <w:div w:id="270361914">
      <w:bodyDiv w:val="1"/>
      <w:marLeft w:val="0"/>
      <w:marRight w:val="0"/>
      <w:marTop w:val="0"/>
      <w:marBottom w:val="0"/>
      <w:divBdr>
        <w:top w:val="none" w:sz="0" w:space="0" w:color="auto"/>
        <w:left w:val="none" w:sz="0" w:space="0" w:color="auto"/>
        <w:bottom w:val="none" w:sz="0" w:space="0" w:color="auto"/>
        <w:right w:val="none" w:sz="0" w:space="0" w:color="auto"/>
      </w:divBdr>
    </w:div>
    <w:div w:id="285082586">
      <w:bodyDiv w:val="1"/>
      <w:marLeft w:val="0"/>
      <w:marRight w:val="0"/>
      <w:marTop w:val="0"/>
      <w:marBottom w:val="0"/>
      <w:divBdr>
        <w:top w:val="none" w:sz="0" w:space="0" w:color="auto"/>
        <w:left w:val="none" w:sz="0" w:space="0" w:color="auto"/>
        <w:bottom w:val="none" w:sz="0" w:space="0" w:color="auto"/>
        <w:right w:val="none" w:sz="0" w:space="0" w:color="auto"/>
      </w:divBdr>
      <w:divsChild>
        <w:div w:id="516769027">
          <w:marLeft w:val="446"/>
          <w:marRight w:val="0"/>
          <w:marTop w:val="82"/>
          <w:marBottom w:val="0"/>
          <w:divBdr>
            <w:top w:val="none" w:sz="0" w:space="0" w:color="auto"/>
            <w:left w:val="none" w:sz="0" w:space="0" w:color="auto"/>
            <w:bottom w:val="none" w:sz="0" w:space="0" w:color="auto"/>
            <w:right w:val="none" w:sz="0" w:space="0" w:color="auto"/>
          </w:divBdr>
        </w:div>
      </w:divsChild>
    </w:div>
    <w:div w:id="358622752">
      <w:bodyDiv w:val="1"/>
      <w:marLeft w:val="0"/>
      <w:marRight w:val="0"/>
      <w:marTop w:val="0"/>
      <w:marBottom w:val="0"/>
      <w:divBdr>
        <w:top w:val="none" w:sz="0" w:space="0" w:color="auto"/>
        <w:left w:val="none" w:sz="0" w:space="0" w:color="auto"/>
        <w:bottom w:val="none" w:sz="0" w:space="0" w:color="auto"/>
        <w:right w:val="none" w:sz="0" w:space="0" w:color="auto"/>
      </w:divBdr>
    </w:div>
    <w:div w:id="359745620">
      <w:bodyDiv w:val="1"/>
      <w:marLeft w:val="0"/>
      <w:marRight w:val="0"/>
      <w:marTop w:val="0"/>
      <w:marBottom w:val="0"/>
      <w:divBdr>
        <w:top w:val="none" w:sz="0" w:space="0" w:color="auto"/>
        <w:left w:val="none" w:sz="0" w:space="0" w:color="auto"/>
        <w:bottom w:val="none" w:sz="0" w:space="0" w:color="auto"/>
        <w:right w:val="none" w:sz="0" w:space="0" w:color="auto"/>
      </w:divBdr>
    </w:div>
    <w:div w:id="365906110">
      <w:bodyDiv w:val="1"/>
      <w:marLeft w:val="0"/>
      <w:marRight w:val="0"/>
      <w:marTop w:val="0"/>
      <w:marBottom w:val="0"/>
      <w:divBdr>
        <w:top w:val="none" w:sz="0" w:space="0" w:color="auto"/>
        <w:left w:val="none" w:sz="0" w:space="0" w:color="auto"/>
        <w:bottom w:val="none" w:sz="0" w:space="0" w:color="auto"/>
        <w:right w:val="none" w:sz="0" w:space="0" w:color="auto"/>
      </w:divBdr>
    </w:div>
    <w:div w:id="407387581">
      <w:bodyDiv w:val="1"/>
      <w:marLeft w:val="0"/>
      <w:marRight w:val="0"/>
      <w:marTop w:val="0"/>
      <w:marBottom w:val="0"/>
      <w:divBdr>
        <w:top w:val="none" w:sz="0" w:space="0" w:color="auto"/>
        <w:left w:val="none" w:sz="0" w:space="0" w:color="auto"/>
        <w:bottom w:val="none" w:sz="0" w:space="0" w:color="auto"/>
        <w:right w:val="none" w:sz="0" w:space="0" w:color="auto"/>
      </w:divBdr>
    </w:div>
    <w:div w:id="413167907">
      <w:bodyDiv w:val="1"/>
      <w:marLeft w:val="0"/>
      <w:marRight w:val="0"/>
      <w:marTop w:val="0"/>
      <w:marBottom w:val="0"/>
      <w:divBdr>
        <w:top w:val="none" w:sz="0" w:space="0" w:color="auto"/>
        <w:left w:val="none" w:sz="0" w:space="0" w:color="auto"/>
        <w:bottom w:val="none" w:sz="0" w:space="0" w:color="auto"/>
        <w:right w:val="none" w:sz="0" w:space="0" w:color="auto"/>
      </w:divBdr>
    </w:div>
    <w:div w:id="415638181">
      <w:bodyDiv w:val="1"/>
      <w:marLeft w:val="0"/>
      <w:marRight w:val="0"/>
      <w:marTop w:val="0"/>
      <w:marBottom w:val="0"/>
      <w:divBdr>
        <w:top w:val="none" w:sz="0" w:space="0" w:color="auto"/>
        <w:left w:val="none" w:sz="0" w:space="0" w:color="auto"/>
        <w:bottom w:val="none" w:sz="0" w:space="0" w:color="auto"/>
        <w:right w:val="none" w:sz="0" w:space="0" w:color="auto"/>
      </w:divBdr>
    </w:div>
    <w:div w:id="450901154">
      <w:bodyDiv w:val="1"/>
      <w:marLeft w:val="0"/>
      <w:marRight w:val="0"/>
      <w:marTop w:val="0"/>
      <w:marBottom w:val="0"/>
      <w:divBdr>
        <w:top w:val="none" w:sz="0" w:space="0" w:color="auto"/>
        <w:left w:val="none" w:sz="0" w:space="0" w:color="auto"/>
        <w:bottom w:val="none" w:sz="0" w:space="0" w:color="auto"/>
        <w:right w:val="none" w:sz="0" w:space="0" w:color="auto"/>
      </w:divBdr>
    </w:div>
    <w:div w:id="455609947">
      <w:bodyDiv w:val="1"/>
      <w:marLeft w:val="0"/>
      <w:marRight w:val="0"/>
      <w:marTop w:val="0"/>
      <w:marBottom w:val="0"/>
      <w:divBdr>
        <w:top w:val="none" w:sz="0" w:space="0" w:color="auto"/>
        <w:left w:val="none" w:sz="0" w:space="0" w:color="auto"/>
        <w:bottom w:val="none" w:sz="0" w:space="0" w:color="auto"/>
        <w:right w:val="none" w:sz="0" w:space="0" w:color="auto"/>
      </w:divBdr>
      <w:divsChild>
        <w:div w:id="305860766">
          <w:marLeft w:val="0"/>
          <w:marRight w:val="0"/>
          <w:marTop w:val="0"/>
          <w:marBottom w:val="0"/>
          <w:divBdr>
            <w:top w:val="none" w:sz="0" w:space="0" w:color="auto"/>
            <w:left w:val="none" w:sz="0" w:space="0" w:color="auto"/>
            <w:bottom w:val="none" w:sz="0" w:space="0" w:color="auto"/>
            <w:right w:val="none" w:sz="0" w:space="0" w:color="auto"/>
          </w:divBdr>
          <w:divsChild>
            <w:div w:id="940795695">
              <w:marLeft w:val="0"/>
              <w:marRight w:val="0"/>
              <w:marTop w:val="0"/>
              <w:marBottom w:val="0"/>
              <w:divBdr>
                <w:top w:val="none" w:sz="0" w:space="0" w:color="auto"/>
                <w:left w:val="none" w:sz="0" w:space="0" w:color="auto"/>
                <w:bottom w:val="none" w:sz="0" w:space="0" w:color="auto"/>
                <w:right w:val="none" w:sz="0" w:space="0" w:color="auto"/>
              </w:divBdr>
            </w:div>
          </w:divsChild>
        </w:div>
        <w:div w:id="425536302">
          <w:marLeft w:val="0"/>
          <w:marRight w:val="0"/>
          <w:marTop w:val="0"/>
          <w:marBottom w:val="0"/>
          <w:divBdr>
            <w:top w:val="none" w:sz="0" w:space="0" w:color="auto"/>
            <w:left w:val="none" w:sz="0" w:space="0" w:color="auto"/>
            <w:bottom w:val="none" w:sz="0" w:space="0" w:color="auto"/>
            <w:right w:val="none" w:sz="0" w:space="0" w:color="auto"/>
          </w:divBdr>
          <w:divsChild>
            <w:div w:id="839389179">
              <w:marLeft w:val="0"/>
              <w:marRight w:val="0"/>
              <w:marTop w:val="0"/>
              <w:marBottom w:val="0"/>
              <w:divBdr>
                <w:top w:val="none" w:sz="0" w:space="0" w:color="auto"/>
                <w:left w:val="none" w:sz="0" w:space="0" w:color="auto"/>
                <w:bottom w:val="none" w:sz="0" w:space="0" w:color="auto"/>
                <w:right w:val="none" w:sz="0" w:space="0" w:color="auto"/>
              </w:divBdr>
              <w:divsChild>
                <w:div w:id="178022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50702">
      <w:bodyDiv w:val="1"/>
      <w:marLeft w:val="0"/>
      <w:marRight w:val="0"/>
      <w:marTop w:val="0"/>
      <w:marBottom w:val="0"/>
      <w:divBdr>
        <w:top w:val="none" w:sz="0" w:space="0" w:color="auto"/>
        <w:left w:val="none" w:sz="0" w:space="0" w:color="auto"/>
        <w:bottom w:val="none" w:sz="0" w:space="0" w:color="auto"/>
        <w:right w:val="none" w:sz="0" w:space="0" w:color="auto"/>
      </w:divBdr>
    </w:div>
    <w:div w:id="494608763">
      <w:bodyDiv w:val="1"/>
      <w:marLeft w:val="0"/>
      <w:marRight w:val="0"/>
      <w:marTop w:val="0"/>
      <w:marBottom w:val="0"/>
      <w:divBdr>
        <w:top w:val="none" w:sz="0" w:space="0" w:color="auto"/>
        <w:left w:val="none" w:sz="0" w:space="0" w:color="auto"/>
        <w:bottom w:val="none" w:sz="0" w:space="0" w:color="auto"/>
        <w:right w:val="none" w:sz="0" w:space="0" w:color="auto"/>
      </w:divBdr>
    </w:div>
    <w:div w:id="501555586">
      <w:bodyDiv w:val="1"/>
      <w:marLeft w:val="0"/>
      <w:marRight w:val="0"/>
      <w:marTop w:val="0"/>
      <w:marBottom w:val="0"/>
      <w:divBdr>
        <w:top w:val="none" w:sz="0" w:space="0" w:color="auto"/>
        <w:left w:val="none" w:sz="0" w:space="0" w:color="auto"/>
        <w:bottom w:val="none" w:sz="0" w:space="0" w:color="auto"/>
        <w:right w:val="none" w:sz="0" w:space="0" w:color="auto"/>
      </w:divBdr>
    </w:div>
    <w:div w:id="511726050">
      <w:bodyDiv w:val="1"/>
      <w:marLeft w:val="0"/>
      <w:marRight w:val="0"/>
      <w:marTop w:val="0"/>
      <w:marBottom w:val="0"/>
      <w:divBdr>
        <w:top w:val="none" w:sz="0" w:space="0" w:color="auto"/>
        <w:left w:val="none" w:sz="0" w:space="0" w:color="auto"/>
        <w:bottom w:val="none" w:sz="0" w:space="0" w:color="auto"/>
        <w:right w:val="none" w:sz="0" w:space="0" w:color="auto"/>
      </w:divBdr>
    </w:div>
    <w:div w:id="524488961">
      <w:bodyDiv w:val="1"/>
      <w:marLeft w:val="0"/>
      <w:marRight w:val="0"/>
      <w:marTop w:val="0"/>
      <w:marBottom w:val="0"/>
      <w:divBdr>
        <w:top w:val="none" w:sz="0" w:space="0" w:color="auto"/>
        <w:left w:val="none" w:sz="0" w:space="0" w:color="auto"/>
        <w:bottom w:val="none" w:sz="0" w:space="0" w:color="auto"/>
        <w:right w:val="none" w:sz="0" w:space="0" w:color="auto"/>
      </w:divBdr>
      <w:divsChild>
        <w:div w:id="118765713">
          <w:marLeft w:val="547"/>
          <w:marRight w:val="0"/>
          <w:marTop w:val="0"/>
          <w:marBottom w:val="0"/>
          <w:divBdr>
            <w:top w:val="none" w:sz="0" w:space="0" w:color="auto"/>
            <w:left w:val="none" w:sz="0" w:space="0" w:color="auto"/>
            <w:bottom w:val="none" w:sz="0" w:space="0" w:color="auto"/>
            <w:right w:val="none" w:sz="0" w:space="0" w:color="auto"/>
          </w:divBdr>
        </w:div>
        <w:div w:id="1911844698">
          <w:marLeft w:val="547"/>
          <w:marRight w:val="0"/>
          <w:marTop w:val="0"/>
          <w:marBottom w:val="0"/>
          <w:divBdr>
            <w:top w:val="none" w:sz="0" w:space="0" w:color="auto"/>
            <w:left w:val="none" w:sz="0" w:space="0" w:color="auto"/>
            <w:bottom w:val="none" w:sz="0" w:space="0" w:color="auto"/>
            <w:right w:val="none" w:sz="0" w:space="0" w:color="auto"/>
          </w:divBdr>
        </w:div>
      </w:divsChild>
    </w:div>
    <w:div w:id="541134315">
      <w:bodyDiv w:val="1"/>
      <w:marLeft w:val="0"/>
      <w:marRight w:val="0"/>
      <w:marTop w:val="0"/>
      <w:marBottom w:val="0"/>
      <w:divBdr>
        <w:top w:val="none" w:sz="0" w:space="0" w:color="auto"/>
        <w:left w:val="none" w:sz="0" w:space="0" w:color="auto"/>
        <w:bottom w:val="none" w:sz="0" w:space="0" w:color="auto"/>
        <w:right w:val="none" w:sz="0" w:space="0" w:color="auto"/>
      </w:divBdr>
    </w:div>
    <w:div w:id="541944676">
      <w:bodyDiv w:val="1"/>
      <w:marLeft w:val="0"/>
      <w:marRight w:val="0"/>
      <w:marTop w:val="0"/>
      <w:marBottom w:val="0"/>
      <w:divBdr>
        <w:top w:val="none" w:sz="0" w:space="0" w:color="auto"/>
        <w:left w:val="none" w:sz="0" w:space="0" w:color="auto"/>
        <w:bottom w:val="none" w:sz="0" w:space="0" w:color="auto"/>
        <w:right w:val="none" w:sz="0" w:space="0" w:color="auto"/>
      </w:divBdr>
    </w:div>
    <w:div w:id="563950727">
      <w:bodyDiv w:val="1"/>
      <w:marLeft w:val="0"/>
      <w:marRight w:val="0"/>
      <w:marTop w:val="0"/>
      <w:marBottom w:val="0"/>
      <w:divBdr>
        <w:top w:val="none" w:sz="0" w:space="0" w:color="auto"/>
        <w:left w:val="none" w:sz="0" w:space="0" w:color="auto"/>
        <w:bottom w:val="none" w:sz="0" w:space="0" w:color="auto"/>
        <w:right w:val="none" w:sz="0" w:space="0" w:color="auto"/>
      </w:divBdr>
    </w:div>
    <w:div w:id="574703289">
      <w:bodyDiv w:val="1"/>
      <w:marLeft w:val="0"/>
      <w:marRight w:val="0"/>
      <w:marTop w:val="0"/>
      <w:marBottom w:val="0"/>
      <w:divBdr>
        <w:top w:val="none" w:sz="0" w:space="0" w:color="auto"/>
        <w:left w:val="none" w:sz="0" w:space="0" w:color="auto"/>
        <w:bottom w:val="none" w:sz="0" w:space="0" w:color="auto"/>
        <w:right w:val="none" w:sz="0" w:space="0" w:color="auto"/>
      </w:divBdr>
    </w:div>
    <w:div w:id="593127315">
      <w:bodyDiv w:val="1"/>
      <w:marLeft w:val="0"/>
      <w:marRight w:val="0"/>
      <w:marTop w:val="0"/>
      <w:marBottom w:val="0"/>
      <w:divBdr>
        <w:top w:val="none" w:sz="0" w:space="0" w:color="auto"/>
        <w:left w:val="none" w:sz="0" w:space="0" w:color="auto"/>
        <w:bottom w:val="none" w:sz="0" w:space="0" w:color="auto"/>
        <w:right w:val="none" w:sz="0" w:space="0" w:color="auto"/>
      </w:divBdr>
      <w:divsChild>
        <w:div w:id="296375887">
          <w:marLeft w:val="547"/>
          <w:marRight w:val="0"/>
          <w:marTop w:val="0"/>
          <w:marBottom w:val="0"/>
          <w:divBdr>
            <w:top w:val="none" w:sz="0" w:space="0" w:color="auto"/>
            <w:left w:val="none" w:sz="0" w:space="0" w:color="auto"/>
            <w:bottom w:val="none" w:sz="0" w:space="0" w:color="auto"/>
            <w:right w:val="none" w:sz="0" w:space="0" w:color="auto"/>
          </w:divBdr>
        </w:div>
      </w:divsChild>
    </w:div>
    <w:div w:id="619648739">
      <w:bodyDiv w:val="1"/>
      <w:marLeft w:val="0"/>
      <w:marRight w:val="0"/>
      <w:marTop w:val="0"/>
      <w:marBottom w:val="0"/>
      <w:divBdr>
        <w:top w:val="none" w:sz="0" w:space="0" w:color="auto"/>
        <w:left w:val="none" w:sz="0" w:space="0" w:color="auto"/>
        <w:bottom w:val="none" w:sz="0" w:space="0" w:color="auto"/>
        <w:right w:val="none" w:sz="0" w:space="0" w:color="auto"/>
      </w:divBdr>
      <w:divsChild>
        <w:div w:id="1151798847">
          <w:marLeft w:val="547"/>
          <w:marRight w:val="0"/>
          <w:marTop w:val="0"/>
          <w:marBottom w:val="0"/>
          <w:divBdr>
            <w:top w:val="none" w:sz="0" w:space="0" w:color="auto"/>
            <w:left w:val="none" w:sz="0" w:space="0" w:color="auto"/>
            <w:bottom w:val="none" w:sz="0" w:space="0" w:color="auto"/>
            <w:right w:val="none" w:sz="0" w:space="0" w:color="auto"/>
          </w:divBdr>
        </w:div>
      </w:divsChild>
    </w:div>
    <w:div w:id="648824092">
      <w:bodyDiv w:val="1"/>
      <w:marLeft w:val="0"/>
      <w:marRight w:val="0"/>
      <w:marTop w:val="0"/>
      <w:marBottom w:val="0"/>
      <w:divBdr>
        <w:top w:val="none" w:sz="0" w:space="0" w:color="auto"/>
        <w:left w:val="none" w:sz="0" w:space="0" w:color="auto"/>
        <w:bottom w:val="none" w:sz="0" w:space="0" w:color="auto"/>
        <w:right w:val="none" w:sz="0" w:space="0" w:color="auto"/>
      </w:divBdr>
    </w:div>
    <w:div w:id="685180401">
      <w:bodyDiv w:val="1"/>
      <w:marLeft w:val="0"/>
      <w:marRight w:val="0"/>
      <w:marTop w:val="0"/>
      <w:marBottom w:val="0"/>
      <w:divBdr>
        <w:top w:val="none" w:sz="0" w:space="0" w:color="auto"/>
        <w:left w:val="none" w:sz="0" w:space="0" w:color="auto"/>
        <w:bottom w:val="none" w:sz="0" w:space="0" w:color="auto"/>
        <w:right w:val="none" w:sz="0" w:space="0" w:color="auto"/>
      </w:divBdr>
    </w:div>
    <w:div w:id="692071336">
      <w:bodyDiv w:val="1"/>
      <w:marLeft w:val="0"/>
      <w:marRight w:val="120"/>
      <w:marTop w:val="0"/>
      <w:marBottom w:val="0"/>
      <w:divBdr>
        <w:top w:val="none" w:sz="0" w:space="0" w:color="auto"/>
        <w:left w:val="none" w:sz="0" w:space="0" w:color="auto"/>
        <w:bottom w:val="none" w:sz="0" w:space="0" w:color="auto"/>
        <w:right w:val="none" w:sz="0" w:space="0" w:color="auto"/>
      </w:divBdr>
      <w:divsChild>
        <w:div w:id="1154642933">
          <w:marLeft w:val="0"/>
          <w:marRight w:val="0"/>
          <w:marTop w:val="0"/>
          <w:marBottom w:val="0"/>
          <w:divBdr>
            <w:top w:val="none" w:sz="0" w:space="0" w:color="auto"/>
            <w:left w:val="none" w:sz="0" w:space="0" w:color="auto"/>
            <w:bottom w:val="none" w:sz="0" w:space="0" w:color="auto"/>
            <w:right w:val="none" w:sz="0" w:space="0" w:color="auto"/>
          </w:divBdr>
          <w:divsChild>
            <w:div w:id="1523712729">
              <w:marLeft w:val="0"/>
              <w:marRight w:val="0"/>
              <w:marTop w:val="0"/>
              <w:marBottom w:val="0"/>
              <w:divBdr>
                <w:top w:val="none" w:sz="0" w:space="0" w:color="auto"/>
                <w:left w:val="none" w:sz="0" w:space="0" w:color="auto"/>
                <w:bottom w:val="none" w:sz="0" w:space="0" w:color="auto"/>
                <w:right w:val="none" w:sz="0" w:space="0" w:color="auto"/>
              </w:divBdr>
              <w:divsChild>
                <w:div w:id="180010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857963">
      <w:bodyDiv w:val="1"/>
      <w:marLeft w:val="0"/>
      <w:marRight w:val="0"/>
      <w:marTop w:val="0"/>
      <w:marBottom w:val="0"/>
      <w:divBdr>
        <w:top w:val="none" w:sz="0" w:space="0" w:color="auto"/>
        <w:left w:val="none" w:sz="0" w:space="0" w:color="auto"/>
        <w:bottom w:val="none" w:sz="0" w:space="0" w:color="auto"/>
        <w:right w:val="none" w:sz="0" w:space="0" w:color="auto"/>
      </w:divBdr>
    </w:div>
    <w:div w:id="755637906">
      <w:bodyDiv w:val="1"/>
      <w:marLeft w:val="0"/>
      <w:marRight w:val="0"/>
      <w:marTop w:val="0"/>
      <w:marBottom w:val="0"/>
      <w:divBdr>
        <w:top w:val="none" w:sz="0" w:space="0" w:color="auto"/>
        <w:left w:val="none" w:sz="0" w:space="0" w:color="auto"/>
        <w:bottom w:val="none" w:sz="0" w:space="0" w:color="auto"/>
        <w:right w:val="none" w:sz="0" w:space="0" w:color="auto"/>
      </w:divBdr>
    </w:div>
    <w:div w:id="757599489">
      <w:bodyDiv w:val="1"/>
      <w:marLeft w:val="0"/>
      <w:marRight w:val="0"/>
      <w:marTop w:val="0"/>
      <w:marBottom w:val="0"/>
      <w:divBdr>
        <w:top w:val="none" w:sz="0" w:space="0" w:color="auto"/>
        <w:left w:val="none" w:sz="0" w:space="0" w:color="auto"/>
        <w:bottom w:val="none" w:sz="0" w:space="0" w:color="auto"/>
        <w:right w:val="none" w:sz="0" w:space="0" w:color="auto"/>
      </w:divBdr>
      <w:divsChild>
        <w:div w:id="893782311">
          <w:marLeft w:val="0"/>
          <w:marRight w:val="0"/>
          <w:marTop w:val="0"/>
          <w:marBottom w:val="0"/>
          <w:divBdr>
            <w:top w:val="none" w:sz="0" w:space="0" w:color="auto"/>
            <w:left w:val="none" w:sz="0" w:space="0" w:color="auto"/>
            <w:bottom w:val="none" w:sz="0" w:space="0" w:color="auto"/>
            <w:right w:val="none" w:sz="0" w:space="0" w:color="auto"/>
          </w:divBdr>
          <w:divsChild>
            <w:div w:id="21216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451560">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92286544">
      <w:bodyDiv w:val="1"/>
      <w:marLeft w:val="0"/>
      <w:marRight w:val="0"/>
      <w:marTop w:val="0"/>
      <w:marBottom w:val="0"/>
      <w:divBdr>
        <w:top w:val="none" w:sz="0" w:space="0" w:color="auto"/>
        <w:left w:val="none" w:sz="0" w:space="0" w:color="auto"/>
        <w:bottom w:val="none" w:sz="0" w:space="0" w:color="auto"/>
        <w:right w:val="none" w:sz="0" w:space="0" w:color="auto"/>
      </w:divBdr>
    </w:div>
    <w:div w:id="877470516">
      <w:bodyDiv w:val="1"/>
      <w:marLeft w:val="0"/>
      <w:marRight w:val="0"/>
      <w:marTop w:val="0"/>
      <w:marBottom w:val="0"/>
      <w:divBdr>
        <w:top w:val="none" w:sz="0" w:space="0" w:color="auto"/>
        <w:left w:val="none" w:sz="0" w:space="0" w:color="auto"/>
        <w:bottom w:val="none" w:sz="0" w:space="0" w:color="auto"/>
        <w:right w:val="none" w:sz="0" w:space="0" w:color="auto"/>
      </w:divBdr>
    </w:div>
    <w:div w:id="887692569">
      <w:bodyDiv w:val="1"/>
      <w:marLeft w:val="0"/>
      <w:marRight w:val="0"/>
      <w:marTop w:val="0"/>
      <w:marBottom w:val="0"/>
      <w:divBdr>
        <w:top w:val="none" w:sz="0" w:space="0" w:color="auto"/>
        <w:left w:val="none" w:sz="0" w:space="0" w:color="auto"/>
        <w:bottom w:val="none" w:sz="0" w:space="0" w:color="auto"/>
        <w:right w:val="none" w:sz="0" w:space="0" w:color="auto"/>
      </w:divBdr>
    </w:div>
    <w:div w:id="933633341">
      <w:bodyDiv w:val="1"/>
      <w:marLeft w:val="0"/>
      <w:marRight w:val="0"/>
      <w:marTop w:val="0"/>
      <w:marBottom w:val="0"/>
      <w:divBdr>
        <w:top w:val="none" w:sz="0" w:space="0" w:color="auto"/>
        <w:left w:val="none" w:sz="0" w:space="0" w:color="auto"/>
        <w:bottom w:val="none" w:sz="0" w:space="0" w:color="auto"/>
        <w:right w:val="none" w:sz="0" w:space="0" w:color="auto"/>
      </w:divBdr>
      <w:divsChild>
        <w:div w:id="1267420280">
          <w:marLeft w:val="547"/>
          <w:marRight w:val="0"/>
          <w:marTop w:val="0"/>
          <w:marBottom w:val="0"/>
          <w:divBdr>
            <w:top w:val="none" w:sz="0" w:space="0" w:color="auto"/>
            <w:left w:val="none" w:sz="0" w:space="0" w:color="auto"/>
            <w:bottom w:val="none" w:sz="0" w:space="0" w:color="auto"/>
            <w:right w:val="none" w:sz="0" w:space="0" w:color="auto"/>
          </w:divBdr>
        </w:div>
        <w:div w:id="1867719196">
          <w:marLeft w:val="547"/>
          <w:marRight w:val="0"/>
          <w:marTop w:val="0"/>
          <w:marBottom w:val="0"/>
          <w:divBdr>
            <w:top w:val="none" w:sz="0" w:space="0" w:color="auto"/>
            <w:left w:val="none" w:sz="0" w:space="0" w:color="auto"/>
            <w:bottom w:val="none" w:sz="0" w:space="0" w:color="auto"/>
            <w:right w:val="none" w:sz="0" w:space="0" w:color="auto"/>
          </w:divBdr>
        </w:div>
      </w:divsChild>
    </w:div>
    <w:div w:id="938560615">
      <w:bodyDiv w:val="1"/>
      <w:marLeft w:val="0"/>
      <w:marRight w:val="0"/>
      <w:marTop w:val="0"/>
      <w:marBottom w:val="0"/>
      <w:divBdr>
        <w:top w:val="none" w:sz="0" w:space="0" w:color="auto"/>
        <w:left w:val="none" w:sz="0" w:space="0" w:color="auto"/>
        <w:bottom w:val="none" w:sz="0" w:space="0" w:color="auto"/>
        <w:right w:val="none" w:sz="0" w:space="0" w:color="auto"/>
      </w:divBdr>
    </w:div>
    <w:div w:id="947736928">
      <w:bodyDiv w:val="1"/>
      <w:marLeft w:val="0"/>
      <w:marRight w:val="0"/>
      <w:marTop w:val="0"/>
      <w:marBottom w:val="0"/>
      <w:divBdr>
        <w:top w:val="none" w:sz="0" w:space="0" w:color="auto"/>
        <w:left w:val="none" w:sz="0" w:space="0" w:color="auto"/>
        <w:bottom w:val="none" w:sz="0" w:space="0" w:color="auto"/>
        <w:right w:val="none" w:sz="0" w:space="0" w:color="auto"/>
      </w:divBdr>
    </w:div>
    <w:div w:id="960378103">
      <w:bodyDiv w:val="1"/>
      <w:marLeft w:val="0"/>
      <w:marRight w:val="0"/>
      <w:marTop w:val="0"/>
      <w:marBottom w:val="0"/>
      <w:divBdr>
        <w:top w:val="none" w:sz="0" w:space="0" w:color="auto"/>
        <w:left w:val="none" w:sz="0" w:space="0" w:color="auto"/>
        <w:bottom w:val="none" w:sz="0" w:space="0" w:color="auto"/>
        <w:right w:val="none" w:sz="0" w:space="0" w:color="auto"/>
      </w:divBdr>
    </w:div>
    <w:div w:id="978001357">
      <w:bodyDiv w:val="1"/>
      <w:marLeft w:val="0"/>
      <w:marRight w:val="0"/>
      <w:marTop w:val="0"/>
      <w:marBottom w:val="0"/>
      <w:divBdr>
        <w:top w:val="none" w:sz="0" w:space="0" w:color="auto"/>
        <w:left w:val="none" w:sz="0" w:space="0" w:color="auto"/>
        <w:bottom w:val="none" w:sz="0" w:space="0" w:color="auto"/>
        <w:right w:val="none" w:sz="0" w:space="0" w:color="auto"/>
      </w:divBdr>
      <w:divsChild>
        <w:div w:id="2119181589">
          <w:marLeft w:val="547"/>
          <w:marRight w:val="0"/>
          <w:marTop w:val="0"/>
          <w:marBottom w:val="0"/>
          <w:divBdr>
            <w:top w:val="none" w:sz="0" w:space="0" w:color="auto"/>
            <w:left w:val="none" w:sz="0" w:space="0" w:color="auto"/>
            <w:bottom w:val="none" w:sz="0" w:space="0" w:color="auto"/>
            <w:right w:val="none" w:sz="0" w:space="0" w:color="auto"/>
          </w:divBdr>
        </w:div>
      </w:divsChild>
    </w:div>
    <w:div w:id="1010182615">
      <w:bodyDiv w:val="1"/>
      <w:marLeft w:val="0"/>
      <w:marRight w:val="0"/>
      <w:marTop w:val="0"/>
      <w:marBottom w:val="0"/>
      <w:divBdr>
        <w:top w:val="none" w:sz="0" w:space="0" w:color="auto"/>
        <w:left w:val="none" w:sz="0" w:space="0" w:color="auto"/>
        <w:bottom w:val="none" w:sz="0" w:space="0" w:color="auto"/>
        <w:right w:val="none" w:sz="0" w:space="0" w:color="auto"/>
      </w:divBdr>
    </w:div>
    <w:div w:id="1026056617">
      <w:bodyDiv w:val="1"/>
      <w:marLeft w:val="0"/>
      <w:marRight w:val="0"/>
      <w:marTop w:val="0"/>
      <w:marBottom w:val="0"/>
      <w:divBdr>
        <w:top w:val="none" w:sz="0" w:space="0" w:color="auto"/>
        <w:left w:val="none" w:sz="0" w:space="0" w:color="auto"/>
        <w:bottom w:val="none" w:sz="0" w:space="0" w:color="auto"/>
        <w:right w:val="none" w:sz="0" w:space="0" w:color="auto"/>
      </w:divBdr>
    </w:div>
    <w:div w:id="1037048291">
      <w:bodyDiv w:val="1"/>
      <w:marLeft w:val="0"/>
      <w:marRight w:val="0"/>
      <w:marTop w:val="0"/>
      <w:marBottom w:val="0"/>
      <w:divBdr>
        <w:top w:val="none" w:sz="0" w:space="0" w:color="auto"/>
        <w:left w:val="none" w:sz="0" w:space="0" w:color="auto"/>
        <w:bottom w:val="none" w:sz="0" w:space="0" w:color="auto"/>
        <w:right w:val="none" w:sz="0" w:space="0" w:color="auto"/>
      </w:divBdr>
      <w:divsChild>
        <w:div w:id="692154010">
          <w:marLeft w:val="547"/>
          <w:marRight w:val="0"/>
          <w:marTop w:val="0"/>
          <w:marBottom w:val="0"/>
          <w:divBdr>
            <w:top w:val="none" w:sz="0" w:space="0" w:color="auto"/>
            <w:left w:val="none" w:sz="0" w:space="0" w:color="auto"/>
            <w:bottom w:val="none" w:sz="0" w:space="0" w:color="auto"/>
            <w:right w:val="none" w:sz="0" w:space="0" w:color="auto"/>
          </w:divBdr>
        </w:div>
      </w:divsChild>
    </w:div>
    <w:div w:id="1038821633">
      <w:bodyDiv w:val="1"/>
      <w:marLeft w:val="0"/>
      <w:marRight w:val="0"/>
      <w:marTop w:val="0"/>
      <w:marBottom w:val="0"/>
      <w:divBdr>
        <w:top w:val="none" w:sz="0" w:space="0" w:color="auto"/>
        <w:left w:val="none" w:sz="0" w:space="0" w:color="auto"/>
        <w:bottom w:val="none" w:sz="0" w:space="0" w:color="auto"/>
        <w:right w:val="none" w:sz="0" w:space="0" w:color="auto"/>
      </w:divBdr>
    </w:div>
    <w:div w:id="1044410529">
      <w:bodyDiv w:val="1"/>
      <w:marLeft w:val="0"/>
      <w:marRight w:val="0"/>
      <w:marTop w:val="0"/>
      <w:marBottom w:val="0"/>
      <w:divBdr>
        <w:top w:val="none" w:sz="0" w:space="0" w:color="auto"/>
        <w:left w:val="none" w:sz="0" w:space="0" w:color="auto"/>
        <w:bottom w:val="none" w:sz="0" w:space="0" w:color="auto"/>
        <w:right w:val="none" w:sz="0" w:space="0" w:color="auto"/>
      </w:divBdr>
    </w:div>
    <w:div w:id="1049260535">
      <w:bodyDiv w:val="1"/>
      <w:marLeft w:val="0"/>
      <w:marRight w:val="0"/>
      <w:marTop w:val="0"/>
      <w:marBottom w:val="0"/>
      <w:divBdr>
        <w:top w:val="none" w:sz="0" w:space="0" w:color="auto"/>
        <w:left w:val="none" w:sz="0" w:space="0" w:color="auto"/>
        <w:bottom w:val="none" w:sz="0" w:space="0" w:color="auto"/>
        <w:right w:val="none" w:sz="0" w:space="0" w:color="auto"/>
      </w:divBdr>
    </w:div>
    <w:div w:id="1056472302">
      <w:bodyDiv w:val="1"/>
      <w:marLeft w:val="0"/>
      <w:marRight w:val="0"/>
      <w:marTop w:val="0"/>
      <w:marBottom w:val="0"/>
      <w:divBdr>
        <w:top w:val="none" w:sz="0" w:space="0" w:color="auto"/>
        <w:left w:val="none" w:sz="0" w:space="0" w:color="auto"/>
        <w:bottom w:val="none" w:sz="0" w:space="0" w:color="auto"/>
        <w:right w:val="none" w:sz="0" w:space="0" w:color="auto"/>
      </w:divBdr>
    </w:div>
    <w:div w:id="1067340914">
      <w:bodyDiv w:val="1"/>
      <w:marLeft w:val="0"/>
      <w:marRight w:val="0"/>
      <w:marTop w:val="0"/>
      <w:marBottom w:val="0"/>
      <w:divBdr>
        <w:top w:val="none" w:sz="0" w:space="0" w:color="auto"/>
        <w:left w:val="none" w:sz="0" w:space="0" w:color="auto"/>
        <w:bottom w:val="none" w:sz="0" w:space="0" w:color="auto"/>
        <w:right w:val="none" w:sz="0" w:space="0" w:color="auto"/>
      </w:divBdr>
    </w:div>
    <w:div w:id="1091118821">
      <w:bodyDiv w:val="1"/>
      <w:marLeft w:val="0"/>
      <w:marRight w:val="0"/>
      <w:marTop w:val="0"/>
      <w:marBottom w:val="0"/>
      <w:divBdr>
        <w:top w:val="none" w:sz="0" w:space="0" w:color="auto"/>
        <w:left w:val="none" w:sz="0" w:space="0" w:color="auto"/>
        <w:bottom w:val="none" w:sz="0" w:space="0" w:color="auto"/>
        <w:right w:val="none" w:sz="0" w:space="0" w:color="auto"/>
      </w:divBdr>
    </w:div>
    <w:div w:id="1107382847">
      <w:bodyDiv w:val="1"/>
      <w:marLeft w:val="0"/>
      <w:marRight w:val="0"/>
      <w:marTop w:val="0"/>
      <w:marBottom w:val="0"/>
      <w:divBdr>
        <w:top w:val="none" w:sz="0" w:space="0" w:color="auto"/>
        <w:left w:val="none" w:sz="0" w:space="0" w:color="auto"/>
        <w:bottom w:val="none" w:sz="0" w:space="0" w:color="auto"/>
        <w:right w:val="none" w:sz="0" w:space="0" w:color="auto"/>
      </w:divBdr>
    </w:div>
    <w:div w:id="1108233618">
      <w:bodyDiv w:val="1"/>
      <w:marLeft w:val="0"/>
      <w:marRight w:val="0"/>
      <w:marTop w:val="0"/>
      <w:marBottom w:val="0"/>
      <w:divBdr>
        <w:top w:val="none" w:sz="0" w:space="0" w:color="auto"/>
        <w:left w:val="none" w:sz="0" w:space="0" w:color="auto"/>
        <w:bottom w:val="none" w:sz="0" w:space="0" w:color="auto"/>
        <w:right w:val="none" w:sz="0" w:space="0" w:color="auto"/>
      </w:divBdr>
    </w:div>
    <w:div w:id="1112167654">
      <w:bodyDiv w:val="1"/>
      <w:marLeft w:val="0"/>
      <w:marRight w:val="0"/>
      <w:marTop w:val="0"/>
      <w:marBottom w:val="0"/>
      <w:divBdr>
        <w:top w:val="none" w:sz="0" w:space="0" w:color="auto"/>
        <w:left w:val="none" w:sz="0" w:space="0" w:color="auto"/>
        <w:bottom w:val="none" w:sz="0" w:space="0" w:color="auto"/>
        <w:right w:val="none" w:sz="0" w:space="0" w:color="auto"/>
      </w:divBdr>
    </w:div>
    <w:div w:id="1113984292">
      <w:bodyDiv w:val="1"/>
      <w:marLeft w:val="0"/>
      <w:marRight w:val="0"/>
      <w:marTop w:val="0"/>
      <w:marBottom w:val="0"/>
      <w:divBdr>
        <w:top w:val="none" w:sz="0" w:space="0" w:color="auto"/>
        <w:left w:val="none" w:sz="0" w:space="0" w:color="auto"/>
        <w:bottom w:val="none" w:sz="0" w:space="0" w:color="auto"/>
        <w:right w:val="none" w:sz="0" w:space="0" w:color="auto"/>
      </w:divBdr>
    </w:div>
    <w:div w:id="1148208742">
      <w:bodyDiv w:val="1"/>
      <w:marLeft w:val="0"/>
      <w:marRight w:val="0"/>
      <w:marTop w:val="0"/>
      <w:marBottom w:val="0"/>
      <w:divBdr>
        <w:top w:val="none" w:sz="0" w:space="0" w:color="auto"/>
        <w:left w:val="none" w:sz="0" w:space="0" w:color="auto"/>
        <w:bottom w:val="none" w:sz="0" w:space="0" w:color="auto"/>
        <w:right w:val="none" w:sz="0" w:space="0" w:color="auto"/>
      </w:divBdr>
      <w:divsChild>
        <w:div w:id="435515265">
          <w:marLeft w:val="547"/>
          <w:marRight w:val="0"/>
          <w:marTop w:val="0"/>
          <w:marBottom w:val="0"/>
          <w:divBdr>
            <w:top w:val="none" w:sz="0" w:space="0" w:color="auto"/>
            <w:left w:val="none" w:sz="0" w:space="0" w:color="auto"/>
            <w:bottom w:val="none" w:sz="0" w:space="0" w:color="auto"/>
            <w:right w:val="none" w:sz="0" w:space="0" w:color="auto"/>
          </w:divBdr>
        </w:div>
        <w:div w:id="1261180860">
          <w:marLeft w:val="547"/>
          <w:marRight w:val="0"/>
          <w:marTop w:val="0"/>
          <w:marBottom w:val="0"/>
          <w:divBdr>
            <w:top w:val="none" w:sz="0" w:space="0" w:color="auto"/>
            <w:left w:val="none" w:sz="0" w:space="0" w:color="auto"/>
            <w:bottom w:val="none" w:sz="0" w:space="0" w:color="auto"/>
            <w:right w:val="none" w:sz="0" w:space="0" w:color="auto"/>
          </w:divBdr>
        </w:div>
      </w:divsChild>
    </w:div>
    <w:div w:id="1166703342">
      <w:bodyDiv w:val="1"/>
      <w:marLeft w:val="0"/>
      <w:marRight w:val="120"/>
      <w:marTop w:val="0"/>
      <w:marBottom w:val="0"/>
      <w:divBdr>
        <w:top w:val="none" w:sz="0" w:space="0" w:color="auto"/>
        <w:left w:val="none" w:sz="0" w:space="0" w:color="auto"/>
        <w:bottom w:val="none" w:sz="0" w:space="0" w:color="auto"/>
        <w:right w:val="none" w:sz="0" w:space="0" w:color="auto"/>
      </w:divBdr>
      <w:divsChild>
        <w:div w:id="128519738">
          <w:marLeft w:val="0"/>
          <w:marRight w:val="0"/>
          <w:marTop w:val="0"/>
          <w:marBottom w:val="0"/>
          <w:divBdr>
            <w:top w:val="none" w:sz="0" w:space="0" w:color="auto"/>
            <w:left w:val="none" w:sz="0" w:space="0" w:color="auto"/>
            <w:bottom w:val="none" w:sz="0" w:space="0" w:color="auto"/>
            <w:right w:val="none" w:sz="0" w:space="0" w:color="auto"/>
          </w:divBdr>
          <w:divsChild>
            <w:div w:id="894271077">
              <w:marLeft w:val="0"/>
              <w:marRight w:val="0"/>
              <w:marTop w:val="0"/>
              <w:marBottom w:val="0"/>
              <w:divBdr>
                <w:top w:val="none" w:sz="0" w:space="0" w:color="auto"/>
                <w:left w:val="none" w:sz="0" w:space="0" w:color="auto"/>
                <w:bottom w:val="none" w:sz="0" w:space="0" w:color="auto"/>
                <w:right w:val="none" w:sz="0" w:space="0" w:color="auto"/>
              </w:divBdr>
              <w:divsChild>
                <w:div w:id="1945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71733">
      <w:bodyDiv w:val="1"/>
      <w:marLeft w:val="0"/>
      <w:marRight w:val="0"/>
      <w:marTop w:val="0"/>
      <w:marBottom w:val="0"/>
      <w:divBdr>
        <w:top w:val="none" w:sz="0" w:space="0" w:color="auto"/>
        <w:left w:val="none" w:sz="0" w:space="0" w:color="auto"/>
        <w:bottom w:val="none" w:sz="0" w:space="0" w:color="auto"/>
        <w:right w:val="none" w:sz="0" w:space="0" w:color="auto"/>
      </w:divBdr>
    </w:div>
    <w:div w:id="1207990746">
      <w:bodyDiv w:val="1"/>
      <w:marLeft w:val="0"/>
      <w:marRight w:val="0"/>
      <w:marTop w:val="0"/>
      <w:marBottom w:val="0"/>
      <w:divBdr>
        <w:top w:val="none" w:sz="0" w:space="0" w:color="auto"/>
        <w:left w:val="none" w:sz="0" w:space="0" w:color="auto"/>
        <w:bottom w:val="none" w:sz="0" w:space="0" w:color="auto"/>
        <w:right w:val="none" w:sz="0" w:space="0" w:color="auto"/>
      </w:divBdr>
    </w:div>
    <w:div w:id="1258562795">
      <w:bodyDiv w:val="1"/>
      <w:marLeft w:val="0"/>
      <w:marRight w:val="0"/>
      <w:marTop w:val="0"/>
      <w:marBottom w:val="0"/>
      <w:divBdr>
        <w:top w:val="none" w:sz="0" w:space="0" w:color="auto"/>
        <w:left w:val="none" w:sz="0" w:space="0" w:color="auto"/>
        <w:bottom w:val="none" w:sz="0" w:space="0" w:color="auto"/>
        <w:right w:val="none" w:sz="0" w:space="0" w:color="auto"/>
      </w:divBdr>
    </w:div>
    <w:div w:id="1291323015">
      <w:bodyDiv w:val="1"/>
      <w:marLeft w:val="0"/>
      <w:marRight w:val="0"/>
      <w:marTop w:val="0"/>
      <w:marBottom w:val="0"/>
      <w:divBdr>
        <w:top w:val="none" w:sz="0" w:space="0" w:color="auto"/>
        <w:left w:val="none" w:sz="0" w:space="0" w:color="auto"/>
        <w:bottom w:val="none" w:sz="0" w:space="0" w:color="auto"/>
        <w:right w:val="none" w:sz="0" w:space="0" w:color="auto"/>
      </w:divBdr>
    </w:div>
    <w:div w:id="1367293692">
      <w:bodyDiv w:val="1"/>
      <w:marLeft w:val="0"/>
      <w:marRight w:val="0"/>
      <w:marTop w:val="0"/>
      <w:marBottom w:val="0"/>
      <w:divBdr>
        <w:top w:val="none" w:sz="0" w:space="0" w:color="auto"/>
        <w:left w:val="none" w:sz="0" w:space="0" w:color="auto"/>
        <w:bottom w:val="none" w:sz="0" w:space="0" w:color="auto"/>
        <w:right w:val="none" w:sz="0" w:space="0" w:color="auto"/>
      </w:divBdr>
    </w:div>
    <w:div w:id="1431850437">
      <w:bodyDiv w:val="1"/>
      <w:marLeft w:val="0"/>
      <w:marRight w:val="0"/>
      <w:marTop w:val="0"/>
      <w:marBottom w:val="0"/>
      <w:divBdr>
        <w:top w:val="none" w:sz="0" w:space="0" w:color="auto"/>
        <w:left w:val="none" w:sz="0" w:space="0" w:color="auto"/>
        <w:bottom w:val="none" w:sz="0" w:space="0" w:color="auto"/>
        <w:right w:val="none" w:sz="0" w:space="0" w:color="auto"/>
      </w:divBdr>
      <w:divsChild>
        <w:div w:id="2140561133">
          <w:marLeft w:val="547"/>
          <w:marRight w:val="0"/>
          <w:marTop w:val="0"/>
          <w:marBottom w:val="0"/>
          <w:divBdr>
            <w:top w:val="none" w:sz="0" w:space="0" w:color="auto"/>
            <w:left w:val="none" w:sz="0" w:space="0" w:color="auto"/>
            <w:bottom w:val="none" w:sz="0" w:space="0" w:color="auto"/>
            <w:right w:val="none" w:sz="0" w:space="0" w:color="auto"/>
          </w:divBdr>
        </w:div>
      </w:divsChild>
    </w:div>
    <w:div w:id="1455371329">
      <w:bodyDiv w:val="1"/>
      <w:marLeft w:val="0"/>
      <w:marRight w:val="0"/>
      <w:marTop w:val="0"/>
      <w:marBottom w:val="0"/>
      <w:divBdr>
        <w:top w:val="none" w:sz="0" w:space="0" w:color="auto"/>
        <w:left w:val="none" w:sz="0" w:space="0" w:color="auto"/>
        <w:bottom w:val="none" w:sz="0" w:space="0" w:color="auto"/>
        <w:right w:val="none" w:sz="0" w:space="0" w:color="auto"/>
      </w:divBdr>
    </w:div>
    <w:div w:id="1533375716">
      <w:bodyDiv w:val="1"/>
      <w:marLeft w:val="0"/>
      <w:marRight w:val="0"/>
      <w:marTop w:val="0"/>
      <w:marBottom w:val="0"/>
      <w:divBdr>
        <w:top w:val="none" w:sz="0" w:space="0" w:color="auto"/>
        <w:left w:val="none" w:sz="0" w:space="0" w:color="auto"/>
        <w:bottom w:val="none" w:sz="0" w:space="0" w:color="auto"/>
        <w:right w:val="none" w:sz="0" w:space="0" w:color="auto"/>
      </w:divBdr>
    </w:div>
    <w:div w:id="1542211946">
      <w:bodyDiv w:val="1"/>
      <w:marLeft w:val="0"/>
      <w:marRight w:val="0"/>
      <w:marTop w:val="0"/>
      <w:marBottom w:val="0"/>
      <w:divBdr>
        <w:top w:val="none" w:sz="0" w:space="0" w:color="auto"/>
        <w:left w:val="none" w:sz="0" w:space="0" w:color="auto"/>
        <w:bottom w:val="none" w:sz="0" w:space="0" w:color="auto"/>
        <w:right w:val="none" w:sz="0" w:space="0" w:color="auto"/>
      </w:divBdr>
    </w:div>
    <w:div w:id="1548905875">
      <w:bodyDiv w:val="1"/>
      <w:marLeft w:val="0"/>
      <w:marRight w:val="0"/>
      <w:marTop w:val="0"/>
      <w:marBottom w:val="0"/>
      <w:divBdr>
        <w:top w:val="none" w:sz="0" w:space="0" w:color="auto"/>
        <w:left w:val="none" w:sz="0" w:space="0" w:color="auto"/>
        <w:bottom w:val="none" w:sz="0" w:space="0" w:color="auto"/>
        <w:right w:val="none" w:sz="0" w:space="0" w:color="auto"/>
      </w:divBdr>
    </w:div>
    <w:div w:id="1550604559">
      <w:bodyDiv w:val="1"/>
      <w:marLeft w:val="0"/>
      <w:marRight w:val="0"/>
      <w:marTop w:val="0"/>
      <w:marBottom w:val="0"/>
      <w:divBdr>
        <w:top w:val="none" w:sz="0" w:space="0" w:color="auto"/>
        <w:left w:val="none" w:sz="0" w:space="0" w:color="auto"/>
        <w:bottom w:val="none" w:sz="0" w:space="0" w:color="auto"/>
        <w:right w:val="none" w:sz="0" w:space="0" w:color="auto"/>
      </w:divBdr>
    </w:div>
    <w:div w:id="1553037921">
      <w:bodyDiv w:val="1"/>
      <w:marLeft w:val="0"/>
      <w:marRight w:val="0"/>
      <w:marTop w:val="0"/>
      <w:marBottom w:val="0"/>
      <w:divBdr>
        <w:top w:val="none" w:sz="0" w:space="0" w:color="auto"/>
        <w:left w:val="none" w:sz="0" w:space="0" w:color="auto"/>
        <w:bottom w:val="none" w:sz="0" w:space="0" w:color="auto"/>
        <w:right w:val="none" w:sz="0" w:space="0" w:color="auto"/>
      </w:divBdr>
    </w:div>
    <w:div w:id="1576551423">
      <w:bodyDiv w:val="1"/>
      <w:marLeft w:val="0"/>
      <w:marRight w:val="0"/>
      <w:marTop w:val="0"/>
      <w:marBottom w:val="0"/>
      <w:divBdr>
        <w:top w:val="none" w:sz="0" w:space="0" w:color="auto"/>
        <w:left w:val="none" w:sz="0" w:space="0" w:color="auto"/>
        <w:bottom w:val="none" w:sz="0" w:space="0" w:color="auto"/>
        <w:right w:val="none" w:sz="0" w:space="0" w:color="auto"/>
      </w:divBdr>
    </w:div>
    <w:div w:id="1694526451">
      <w:bodyDiv w:val="1"/>
      <w:marLeft w:val="0"/>
      <w:marRight w:val="120"/>
      <w:marTop w:val="0"/>
      <w:marBottom w:val="0"/>
      <w:divBdr>
        <w:top w:val="none" w:sz="0" w:space="0" w:color="auto"/>
        <w:left w:val="none" w:sz="0" w:space="0" w:color="auto"/>
        <w:bottom w:val="none" w:sz="0" w:space="0" w:color="auto"/>
        <w:right w:val="none" w:sz="0" w:space="0" w:color="auto"/>
      </w:divBdr>
      <w:divsChild>
        <w:div w:id="428938107">
          <w:marLeft w:val="0"/>
          <w:marRight w:val="0"/>
          <w:marTop w:val="0"/>
          <w:marBottom w:val="0"/>
          <w:divBdr>
            <w:top w:val="none" w:sz="0" w:space="0" w:color="auto"/>
            <w:left w:val="none" w:sz="0" w:space="0" w:color="auto"/>
            <w:bottom w:val="none" w:sz="0" w:space="0" w:color="auto"/>
            <w:right w:val="none" w:sz="0" w:space="0" w:color="auto"/>
          </w:divBdr>
          <w:divsChild>
            <w:div w:id="916212959">
              <w:marLeft w:val="0"/>
              <w:marRight w:val="0"/>
              <w:marTop w:val="0"/>
              <w:marBottom w:val="0"/>
              <w:divBdr>
                <w:top w:val="none" w:sz="0" w:space="0" w:color="auto"/>
                <w:left w:val="none" w:sz="0" w:space="0" w:color="auto"/>
                <w:bottom w:val="none" w:sz="0" w:space="0" w:color="auto"/>
                <w:right w:val="none" w:sz="0" w:space="0" w:color="auto"/>
              </w:divBdr>
            </w:div>
            <w:div w:id="181000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46005">
      <w:bodyDiv w:val="1"/>
      <w:marLeft w:val="0"/>
      <w:marRight w:val="0"/>
      <w:marTop w:val="0"/>
      <w:marBottom w:val="0"/>
      <w:divBdr>
        <w:top w:val="none" w:sz="0" w:space="0" w:color="auto"/>
        <w:left w:val="none" w:sz="0" w:space="0" w:color="auto"/>
        <w:bottom w:val="none" w:sz="0" w:space="0" w:color="auto"/>
        <w:right w:val="none" w:sz="0" w:space="0" w:color="auto"/>
      </w:divBdr>
    </w:div>
    <w:div w:id="1720517971">
      <w:bodyDiv w:val="1"/>
      <w:marLeft w:val="0"/>
      <w:marRight w:val="0"/>
      <w:marTop w:val="0"/>
      <w:marBottom w:val="0"/>
      <w:divBdr>
        <w:top w:val="none" w:sz="0" w:space="0" w:color="auto"/>
        <w:left w:val="none" w:sz="0" w:space="0" w:color="auto"/>
        <w:bottom w:val="none" w:sz="0" w:space="0" w:color="auto"/>
        <w:right w:val="none" w:sz="0" w:space="0" w:color="auto"/>
      </w:divBdr>
    </w:div>
    <w:div w:id="1722556998">
      <w:bodyDiv w:val="1"/>
      <w:marLeft w:val="0"/>
      <w:marRight w:val="0"/>
      <w:marTop w:val="0"/>
      <w:marBottom w:val="0"/>
      <w:divBdr>
        <w:top w:val="none" w:sz="0" w:space="0" w:color="auto"/>
        <w:left w:val="none" w:sz="0" w:space="0" w:color="auto"/>
        <w:bottom w:val="none" w:sz="0" w:space="0" w:color="auto"/>
        <w:right w:val="none" w:sz="0" w:space="0" w:color="auto"/>
      </w:divBdr>
    </w:div>
    <w:div w:id="1804888793">
      <w:bodyDiv w:val="1"/>
      <w:marLeft w:val="0"/>
      <w:marRight w:val="0"/>
      <w:marTop w:val="0"/>
      <w:marBottom w:val="0"/>
      <w:divBdr>
        <w:top w:val="none" w:sz="0" w:space="0" w:color="auto"/>
        <w:left w:val="none" w:sz="0" w:space="0" w:color="auto"/>
        <w:bottom w:val="none" w:sz="0" w:space="0" w:color="auto"/>
        <w:right w:val="none" w:sz="0" w:space="0" w:color="auto"/>
      </w:divBdr>
    </w:div>
    <w:div w:id="1852065186">
      <w:bodyDiv w:val="1"/>
      <w:marLeft w:val="0"/>
      <w:marRight w:val="0"/>
      <w:marTop w:val="0"/>
      <w:marBottom w:val="0"/>
      <w:divBdr>
        <w:top w:val="none" w:sz="0" w:space="0" w:color="auto"/>
        <w:left w:val="none" w:sz="0" w:space="0" w:color="auto"/>
        <w:bottom w:val="none" w:sz="0" w:space="0" w:color="auto"/>
        <w:right w:val="none" w:sz="0" w:space="0" w:color="auto"/>
      </w:divBdr>
    </w:div>
    <w:div w:id="1915316724">
      <w:bodyDiv w:val="1"/>
      <w:marLeft w:val="0"/>
      <w:marRight w:val="0"/>
      <w:marTop w:val="0"/>
      <w:marBottom w:val="0"/>
      <w:divBdr>
        <w:top w:val="none" w:sz="0" w:space="0" w:color="auto"/>
        <w:left w:val="none" w:sz="0" w:space="0" w:color="auto"/>
        <w:bottom w:val="none" w:sz="0" w:space="0" w:color="auto"/>
        <w:right w:val="none" w:sz="0" w:space="0" w:color="auto"/>
      </w:divBdr>
    </w:div>
    <w:div w:id="1929342490">
      <w:bodyDiv w:val="1"/>
      <w:marLeft w:val="0"/>
      <w:marRight w:val="0"/>
      <w:marTop w:val="0"/>
      <w:marBottom w:val="0"/>
      <w:divBdr>
        <w:top w:val="none" w:sz="0" w:space="0" w:color="auto"/>
        <w:left w:val="none" w:sz="0" w:space="0" w:color="auto"/>
        <w:bottom w:val="none" w:sz="0" w:space="0" w:color="auto"/>
        <w:right w:val="none" w:sz="0" w:space="0" w:color="auto"/>
      </w:divBdr>
    </w:div>
    <w:div w:id="1990085783">
      <w:bodyDiv w:val="1"/>
      <w:marLeft w:val="0"/>
      <w:marRight w:val="0"/>
      <w:marTop w:val="0"/>
      <w:marBottom w:val="0"/>
      <w:divBdr>
        <w:top w:val="none" w:sz="0" w:space="0" w:color="auto"/>
        <w:left w:val="none" w:sz="0" w:space="0" w:color="auto"/>
        <w:bottom w:val="none" w:sz="0" w:space="0" w:color="auto"/>
        <w:right w:val="none" w:sz="0" w:space="0" w:color="auto"/>
      </w:divBdr>
    </w:div>
    <w:div w:id="1990474112">
      <w:bodyDiv w:val="1"/>
      <w:marLeft w:val="0"/>
      <w:marRight w:val="0"/>
      <w:marTop w:val="0"/>
      <w:marBottom w:val="0"/>
      <w:divBdr>
        <w:top w:val="none" w:sz="0" w:space="0" w:color="auto"/>
        <w:left w:val="none" w:sz="0" w:space="0" w:color="auto"/>
        <w:bottom w:val="none" w:sz="0" w:space="0" w:color="auto"/>
        <w:right w:val="none" w:sz="0" w:space="0" w:color="auto"/>
      </w:divBdr>
    </w:div>
    <w:div w:id="2008512355">
      <w:bodyDiv w:val="1"/>
      <w:marLeft w:val="0"/>
      <w:marRight w:val="0"/>
      <w:marTop w:val="0"/>
      <w:marBottom w:val="0"/>
      <w:divBdr>
        <w:top w:val="none" w:sz="0" w:space="0" w:color="auto"/>
        <w:left w:val="none" w:sz="0" w:space="0" w:color="auto"/>
        <w:bottom w:val="none" w:sz="0" w:space="0" w:color="auto"/>
        <w:right w:val="none" w:sz="0" w:space="0" w:color="auto"/>
      </w:divBdr>
    </w:div>
    <w:div w:id="2066447014">
      <w:bodyDiv w:val="1"/>
      <w:marLeft w:val="0"/>
      <w:marRight w:val="0"/>
      <w:marTop w:val="0"/>
      <w:marBottom w:val="0"/>
      <w:divBdr>
        <w:top w:val="none" w:sz="0" w:space="0" w:color="auto"/>
        <w:left w:val="none" w:sz="0" w:space="0" w:color="auto"/>
        <w:bottom w:val="none" w:sz="0" w:space="0" w:color="auto"/>
        <w:right w:val="none" w:sz="0" w:space="0" w:color="auto"/>
      </w:divBdr>
    </w:div>
    <w:div w:id="2090151199">
      <w:bodyDiv w:val="1"/>
      <w:marLeft w:val="0"/>
      <w:marRight w:val="0"/>
      <w:marTop w:val="0"/>
      <w:marBottom w:val="0"/>
      <w:divBdr>
        <w:top w:val="none" w:sz="0" w:space="0" w:color="auto"/>
        <w:left w:val="none" w:sz="0" w:space="0" w:color="auto"/>
        <w:bottom w:val="none" w:sz="0" w:space="0" w:color="auto"/>
        <w:right w:val="none" w:sz="0" w:space="0" w:color="auto"/>
      </w:divBdr>
    </w:div>
    <w:div w:id="2101872550">
      <w:bodyDiv w:val="1"/>
      <w:marLeft w:val="0"/>
      <w:marRight w:val="0"/>
      <w:marTop w:val="0"/>
      <w:marBottom w:val="0"/>
      <w:divBdr>
        <w:top w:val="none" w:sz="0" w:space="0" w:color="auto"/>
        <w:left w:val="none" w:sz="0" w:space="0" w:color="auto"/>
        <w:bottom w:val="none" w:sz="0" w:space="0" w:color="auto"/>
        <w:right w:val="none" w:sz="0" w:space="0" w:color="auto"/>
      </w:divBdr>
      <w:divsChild>
        <w:div w:id="1498425130">
          <w:marLeft w:val="547"/>
          <w:marRight w:val="0"/>
          <w:marTop w:val="0"/>
          <w:marBottom w:val="0"/>
          <w:divBdr>
            <w:top w:val="none" w:sz="0" w:space="0" w:color="auto"/>
            <w:left w:val="none" w:sz="0" w:space="0" w:color="auto"/>
            <w:bottom w:val="none" w:sz="0" w:space="0" w:color="auto"/>
            <w:right w:val="none" w:sz="0" w:space="0" w:color="auto"/>
          </w:divBdr>
        </w:div>
      </w:divsChild>
    </w:div>
    <w:div w:id="2130657558">
      <w:bodyDiv w:val="1"/>
      <w:marLeft w:val="0"/>
      <w:marRight w:val="0"/>
      <w:marTop w:val="0"/>
      <w:marBottom w:val="0"/>
      <w:divBdr>
        <w:top w:val="none" w:sz="0" w:space="0" w:color="auto"/>
        <w:left w:val="none" w:sz="0" w:space="0" w:color="auto"/>
        <w:bottom w:val="none" w:sz="0" w:space="0" w:color="auto"/>
        <w:right w:val="none" w:sz="0" w:space="0" w:color="auto"/>
      </w:divBdr>
    </w:div>
    <w:div w:id="2140763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chart" Target="charts/chart7.xml"/><Relationship Id="rId39" Type="http://schemas.openxmlformats.org/officeDocument/2006/relationships/chart" Target="charts/chart17.xml"/><Relationship Id="rId21" Type="http://schemas.openxmlformats.org/officeDocument/2006/relationships/chart" Target="charts/chart2.xml"/><Relationship Id="rId34" Type="http://schemas.openxmlformats.org/officeDocument/2006/relationships/footer" Target="footer2.xml"/><Relationship Id="rId42" Type="http://schemas.openxmlformats.org/officeDocument/2006/relationships/diagramData" Target="diagrams/data3.xml"/><Relationship Id="rId47" Type="http://schemas.openxmlformats.org/officeDocument/2006/relationships/diagramData" Target="diagrams/data4.xml"/><Relationship Id="rId50" Type="http://schemas.openxmlformats.org/officeDocument/2006/relationships/diagramColors" Target="diagrams/colors4.xml"/><Relationship Id="rId55" Type="http://schemas.openxmlformats.org/officeDocument/2006/relationships/diagramColors" Target="diagrams/colors5.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chart" Target="charts/chart6.xml"/><Relationship Id="rId33" Type="http://schemas.openxmlformats.org/officeDocument/2006/relationships/footer" Target="footer1.xml"/><Relationship Id="rId38" Type="http://schemas.openxmlformats.org/officeDocument/2006/relationships/chart" Target="charts/chart16.xml"/><Relationship Id="rId46" Type="http://schemas.microsoft.com/office/2007/relationships/diagramDrawing" Target="diagrams/drawing3.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chart" Target="charts/chart18.xml"/><Relationship Id="rId54" Type="http://schemas.openxmlformats.org/officeDocument/2006/relationships/diagramQuickStyle" Target="diagrams/quickStyle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chart" Target="charts/chart5.xml"/><Relationship Id="rId32" Type="http://schemas.openxmlformats.org/officeDocument/2006/relationships/header" Target="header1.xml"/><Relationship Id="rId37" Type="http://schemas.openxmlformats.org/officeDocument/2006/relationships/chart" Target="charts/chart15.xml"/><Relationship Id="rId40" Type="http://schemas.openxmlformats.org/officeDocument/2006/relationships/hyperlink" Target="http://www.mrspptk.gov.ba/" TargetMode="External"/><Relationship Id="rId45" Type="http://schemas.openxmlformats.org/officeDocument/2006/relationships/diagramColors" Target="diagrams/colors3.xml"/><Relationship Id="rId53" Type="http://schemas.openxmlformats.org/officeDocument/2006/relationships/diagramLayout" Target="diagrams/layout5.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4.xml"/><Relationship Id="rId49" Type="http://schemas.openxmlformats.org/officeDocument/2006/relationships/diagramQuickStyle" Target="diagrams/quickStyle4.xml"/><Relationship Id="rId57"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chart" Target="charts/chart12.xml"/><Relationship Id="rId44" Type="http://schemas.openxmlformats.org/officeDocument/2006/relationships/diagramQuickStyle" Target="diagrams/quickStyle3.xml"/><Relationship Id="rId52" Type="http://schemas.openxmlformats.org/officeDocument/2006/relationships/diagramData" Target="diagrams/data5.xml"/><Relationship Id="rId4" Type="http://schemas.openxmlformats.org/officeDocument/2006/relationships/styles" Target="styles.xml"/><Relationship Id="rId9" Type="http://schemas.openxmlformats.org/officeDocument/2006/relationships/image" Target="media/image1.jpg"/><Relationship Id="rId14" Type="http://schemas.microsoft.com/office/2007/relationships/diagramDrawing" Target="diagrams/drawing1.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3.xml"/><Relationship Id="rId43" Type="http://schemas.openxmlformats.org/officeDocument/2006/relationships/diagramLayout" Target="diagrams/layout3.xml"/><Relationship Id="rId48" Type="http://schemas.openxmlformats.org/officeDocument/2006/relationships/diagramLayout" Target="diagrams/layout4.xml"/><Relationship Id="rId56" Type="http://schemas.microsoft.com/office/2007/relationships/diagramDrawing" Target="diagrams/drawing5.xml"/><Relationship Id="rId8" Type="http://schemas.openxmlformats.org/officeDocument/2006/relationships/endnotes" Target="endnotes.xml"/><Relationship Id="rId51" Type="http://schemas.microsoft.com/office/2007/relationships/diagramDrawing" Target="diagrams/drawing4.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D:\USB\001-ADNAN\GAP\TK25\TK%2025.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D:\USB\001-ADNAN\GAP\TK25\TK%2025.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D:\USB\001-ADNAN\GAP\TK25\TK%2025.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D:\USB\001-ADNAN\GAP\TK25\TK%2025.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D:\USB\001-ADNAN\GAP\TK25\TK%2025.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D:\USB\001-ADNAN\GAP\TK25\TK%2025.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D:\USB\001-ADNAN\GAP\TK25\TK%2025.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D:\USB\001-ADNAN\GAP\TK25\TK%2025.xlsx"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dnan\OneDrive\Desktop\WORKNPLAY\Temporal%20participation%20of%20women%20in%20cantonal%20parliaments.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USB\001-ADNAN\GAP\TK25\TK%2025.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USB\001-ADNAN\GAP\TK25\TK%2025.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USB\001-ADNAN\GAP\TK25\TK%2025.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USB\001-ADNAN\GAP\TK25\TK%2025.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USB\001-ADNAN\GAP\TK25\TK%2025.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D:\USB\001-ADNAN\GAP\TK25\TK%2025.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D:\USB\001-ADNAN\GAP\TK25\TK%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bs-Latn-BA" sz="1200" b="0"/>
              <a:t>Starosna struktura stanovnika TK, 30.06.2023. godine</a:t>
            </a:r>
          </a:p>
        </c:rich>
      </c:tx>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sr-Latn-RS"/>
        </a:p>
      </c:txPr>
    </c:title>
    <c:autoTitleDeleted val="0"/>
    <c:plotArea>
      <c:layout>
        <c:manualLayout>
          <c:layoutTarget val="inner"/>
          <c:xMode val="edge"/>
          <c:yMode val="edge"/>
          <c:x val="0.25790775303709912"/>
          <c:y val="0.22407685680511311"/>
          <c:w val="0.45796422955624311"/>
          <c:h val="0.77172216545450889"/>
        </c:manualLayout>
      </c:layout>
      <c:pieChart>
        <c:varyColors val="1"/>
        <c:ser>
          <c:idx val="0"/>
          <c:order val="0"/>
          <c:explosion val="5"/>
          <c:dPt>
            <c:idx val="0"/>
            <c:bubble3D val="0"/>
            <c:spPr>
              <a:solidFill>
                <a:schemeClr val="accent6">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03B6-45DC-9A98-A4E0AF47A472}"/>
              </c:ext>
            </c:extLst>
          </c:dPt>
          <c:dPt>
            <c:idx val="1"/>
            <c:bubble3D val="0"/>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03B6-45DC-9A98-A4E0AF47A472}"/>
              </c:ext>
            </c:extLst>
          </c:dPt>
          <c:dPt>
            <c:idx val="2"/>
            <c:bubble3D val="0"/>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03B6-45DC-9A98-A4E0AF47A472}"/>
              </c:ext>
            </c:extLst>
          </c:dPt>
          <c:dLbls>
            <c:dLbl>
              <c:idx val="0"/>
              <c:layout>
                <c:manualLayout>
                  <c:x val="-0.10453922591499393"/>
                  <c:y val="0.14579681283599949"/>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3B6-45DC-9A98-A4E0AF47A472}"/>
                </c:ext>
                <c:ext xmlns:c15="http://schemas.microsoft.com/office/drawing/2012/chart" uri="{CE6537A1-D6FC-4f65-9D91-7224C49458BB}">
                  <c15:layout/>
                </c:ext>
              </c:extLst>
            </c:dLbl>
            <c:dLbl>
              <c:idx val="2"/>
              <c:layout>
                <c:manualLayout>
                  <c:x val="8.4725182285396591E-2"/>
                  <c:y val="0.1661067948869120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3B6-45DC-9A98-A4E0AF47A472}"/>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ext>
            </c:extLst>
          </c:dLbls>
          <c:cat>
            <c:strRef>
              <c:f>Sheet2!$C$12:$E$12</c:f>
              <c:strCache>
                <c:ptCount val="3"/>
                <c:pt idx="0">
                  <c:v>0-14</c:v>
                </c:pt>
                <c:pt idx="1">
                  <c:v>15-64</c:v>
                </c:pt>
                <c:pt idx="2">
                  <c:v>65 +</c:v>
                </c:pt>
              </c:strCache>
            </c:strRef>
          </c:cat>
          <c:val>
            <c:numRef>
              <c:f>Sheet2!$C$13:$E$13</c:f>
              <c:numCache>
                <c:formatCode>0.0%</c:formatCode>
                <c:ptCount val="3"/>
                <c:pt idx="0">
                  <c:v>0.13765673953889138</c:v>
                </c:pt>
                <c:pt idx="1">
                  <c:v>0.68589152543947451</c:v>
                </c:pt>
                <c:pt idx="2">
                  <c:v>0.17877423235656836</c:v>
                </c:pt>
              </c:numCache>
            </c:numRef>
          </c:val>
          <c:extLst xmlns:c16r2="http://schemas.microsoft.com/office/drawing/2015/06/chart">
            <c:ext xmlns:c16="http://schemas.microsoft.com/office/drawing/2014/chart" uri="{C3380CC4-5D6E-409C-BE32-E72D297353CC}">
              <c16:uniqueId val="{00000006-03B6-45DC-9A98-A4E0AF47A472}"/>
            </c:ext>
          </c:extLst>
        </c:ser>
        <c:dLbls>
          <c:dLblPos val="ctr"/>
          <c:showLegendKey val="0"/>
          <c:showVal val="0"/>
          <c:showCatName val="0"/>
          <c:showSerName val="0"/>
          <c:showPercent val="1"/>
          <c:showBubbleSize val="0"/>
          <c:showLeaderLines val="0"/>
        </c:dLbls>
        <c:firstSliceAng val="5"/>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defRPr>
      </a:pPr>
      <a:endParaRPr lang="sr-Latn-R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mj-lt"/>
                <a:ea typeface="+mn-ea"/>
                <a:cs typeface="+mn-cs"/>
              </a:defRPr>
            </a:pPr>
            <a:r>
              <a:rPr lang="en-US" sz="1100" b="0" i="0" baseline="0">
                <a:effectLst/>
              </a:rPr>
              <a:t>Nezaposlene osobe po stepenu stručnog obrazovanja i spolu</a:t>
            </a:r>
            <a:r>
              <a:rPr lang="bs-Latn-BA" sz="1100" b="0" i="0" baseline="0">
                <a:effectLst/>
              </a:rPr>
              <a:t> </a:t>
            </a:r>
            <a:r>
              <a:rPr lang="bs-Latn-BA" sz="1100"/>
              <a:t>u 2024. godini</a:t>
            </a:r>
          </a:p>
        </c:rich>
      </c:tx>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mj-lt"/>
              <a:ea typeface="+mn-ea"/>
              <a:cs typeface="+mn-cs"/>
            </a:defRPr>
          </a:pPr>
          <a:endParaRPr lang="sr-Latn-RS"/>
        </a:p>
      </c:txPr>
    </c:title>
    <c:autoTitleDeleted val="0"/>
    <c:plotArea>
      <c:layout/>
      <c:barChart>
        <c:barDir val="col"/>
        <c:grouping val="clustered"/>
        <c:varyColors val="0"/>
        <c:ser>
          <c:idx val="0"/>
          <c:order val="0"/>
          <c:tx>
            <c:strRef>
              <c:f>Sheet7!$B$19</c:f>
              <c:strCache>
                <c:ptCount val="1"/>
                <c:pt idx="0">
                  <c:v>Žene</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Sheet7!$C$18:$J$18</c:f>
              <c:strCache>
                <c:ptCount val="8"/>
                <c:pt idx="0">
                  <c:v>VSS</c:v>
                </c:pt>
                <c:pt idx="1">
                  <c:v>VŠS</c:v>
                </c:pt>
                <c:pt idx="2">
                  <c:v>SSS</c:v>
                </c:pt>
                <c:pt idx="3">
                  <c:v>NSS</c:v>
                </c:pt>
                <c:pt idx="4">
                  <c:v>VKV</c:v>
                </c:pt>
                <c:pt idx="5">
                  <c:v>KV</c:v>
                </c:pt>
                <c:pt idx="6">
                  <c:v>PKV</c:v>
                </c:pt>
                <c:pt idx="7">
                  <c:v>NKV</c:v>
                </c:pt>
              </c:strCache>
            </c:strRef>
          </c:cat>
          <c:val>
            <c:numRef>
              <c:f>Sheet7!$C$19:$J$19</c:f>
              <c:numCache>
                <c:formatCode>0.00%</c:formatCode>
                <c:ptCount val="8"/>
                <c:pt idx="0">
                  <c:v>0.74338624338624337</c:v>
                </c:pt>
                <c:pt idx="1">
                  <c:v>0.59354838709677415</c:v>
                </c:pt>
                <c:pt idx="2">
                  <c:v>0.73325257419745604</c:v>
                </c:pt>
                <c:pt idx="3">
                  <c:v>0.42857142857142855</c:v>
                </c:pt>
                <c:pt idx="4">
                  <c:v>0.2</c:v>
                </c:pt>
                <c:pt idx="5">
                  <c:v>0.56481090217620955</c:v>
                </c:pt>
                <c:pt idx="6">
                  <c:v>0.53717472118959109</c:v>
                </c:pt>
                <c:pt idx="7">
                  <c:v>0.65532629558541267</c:v>
                </c:pt>
              </c:numCache>
            </c:numRef>
          </c:val>
          <c:extLst xmlns:c16r2="http://schemas.microsoft.com/office/drawing/2015/06/chart">
            <c:ext xmlns:c16="http://schemas.microsoft.com/office/drawing/2014/chart" uri="{C3380CC4-5D6E-409C-BE32-E72D297353CC}">
              <c16:uniqueId val="{00000000-800E-402E-96CB-1307CBA7FCFF}"/>
            </c:ext>
          </c:extLst>
        </c:ser>
        <c:ser>
          <c:idx val="1"/>
          <c:order val="1"/>
          <c:tx>
            <c:strRef>
              <c:f>Sheet7!$B$20</c:f>
              <c:strCache>
                <c:ptCount val="1"/>
                <c:pt idx="0">
                  <c:v>Muškarci</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Sheet7!$C$18:$J$18</c:f>
              <c:strCache>
                <c:ptCount val="8"/>
                <c:pt idx="0">
                  <c:v>VSS</c:v>
                </c:pt>
                <c:pt idx="1">
                  <c:v>VŠS</c:v>
                </c:pt>
                <c:pt idx="2">
                  <c:v>SSS</c:v>
                </c:pt>
                <c:pt idx="3">
                  <c:v>NSS</c:v>
                </c:pt>
                <c:pt idx="4">
                  <c:v>VKV</c:v>
                </c:pt>
                <c:pt idx="5">
                  <c:v>KV</c:v>
                </c:pt>
                <c:pt idx="6">
                  <c:v>PKV</c:v>
                </c:pt>
                <c:pt idx="7">
                  <c:v>NKV</c:v>
                </c:pt>
              </c:strCache>
            </c:strRef>
          </c:cat>
          <c:val>
            <c:numRef>
              <c:f>Sheet7!$C$20:$J$20</c:f>
              <c:numCache>
                <c:formatCode>0.00%</c:formatCode>
                <c:ptCount val="8"/>
                <c:pt idx="0">
                  <c:v>0.25661375661375663</c:v>
                </c:pt>
                <c:pt idx="1">
                  <c:v>0.40645161290322585</c:v>
                </c:pt>
                <c:pt idx="2">
                  <c:v>0.26674742580254396</c:v>
                </c:pt>
                <c:pt idx="3">
                  <c:v>0.5714285714285714</c:v>
                </c:pt>
                <c:pt idx="4">
                  <c:v>0.8</c:v>
                </c:pt>
                <c:pt idx="5">
                  <c:v>0.43518909782379045</c:v>
                </c:pt>
                <c:pt idx="6">
                  <c:v>0.46282527881040891</c:v>
                </c:pt>
                <c:pt idx="7">
                  <c:v>0.34467370441458733</c:v>
                </c:pt>
              </c:numCache>
            </c:numRef>
          </c:val>
          <c:extLst xmlns:c16r2="http://schemas.microsoft.com/office/drawing/2015/06/chart">
            <c:ext xmlns:c16="http://schemas.microsoft.com/office/drawing/2014/chart" uri="{C3380CC4-5D6E-409C-BE32-E72D297353CC}">
              <c16:uniqueId val="{00000001-800E-402E-96CB-1307CBA7FCFF}"/>
            </c:ext>
          </c:extLst>
        </c:ser>
        <c:dLbls>
          <c:dLblPos val="inEnd"/>
          <c:showLegendKey val="0"/>
          <c:showVal val="1"/>
          <c:showCatName val="0"/>
          <c:showSerName val="0"/>
          <c:showPercent val="0"/>
          <c:showBubbleSize val="0"/>
        </c:dLbls>
        <c:gapWidth val="100"/>
        <c:overlap val="-24"/>
        <c:axId val="298858096"/>
        <c:axId val="298858880"/>
        <c:extLst xmlns:c16r2="http://schemas.microsoft.com/office/drawing/2015/06/chart"/>
      </c:barChart>
      <c:catAx>
        <c:axId val="298858096"/>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298858880"/>
        <c:crosses val="autoZero"/>
        <c:auto val="1"/>
        <c:lblAlgn val="ctr"/>
        <c:lblOffset val="100"/>
        <c:noMultiLvlLbl val="0"/>
      </c:catAx>
      <c:valAx>
        <c:axId val="2988588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2988580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ysClr val="windowText" lastClr="000000"/>
                </a:solidFill>
                <a:latin typeface="+mj-lt"/>
                <a:ea typeface="+mn-ea"/>
                <a:cs typeface="+mn-cs"/>
              </a:defRPr>
            </a:pPr>
            <a:r>
              <a:rPr lang="bs-Latn-BA"/>
              <a:t>Djeca upisana u predškolske ustanove</a:t>
            </a:r>
          </a:p>
        </c:rich>
      </c:tx>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j-lt"/>
              <a:ea typeface="+mn-ea"/>
              <a:cs typeface="+mn-cs"/>
            </a:defRPr>
          </a:pPr>
          <a:endParaRPr lang="sr-Latn-RS"/>
        </a:p>
      </c:txPr>
    </c:title>
    <c:autoTitleDeleted val="0"/>
    <c:plotArea>
      <c:layout/>
      <c:lineChart>
        <c:grouping val="standard"/>
        <c:varyColors val="0"/>
        <c:ser>
          <c:idx val="0"/>
          <c:order val="0"/>
          <c:tx>
            <c:strRef>
              <c:f>Sheet8!$C$5</c:f>
              <c:strCache>
                <c:ptCount val="1"/>
                <c:pt idx="0">
                  <c:v>Ukupno</c:v>
                </c:pt>
              </c:strCache>
            </c:strRef>
          </c:tx>
          <c:spPr>
            <a:ln w="34925" cap="rnd">
              <a:gradFill>
                <a:gsLst>
                  <a:gs pos="0">
                    <a:schemeClr val="accent5">
                      <a:lumMod val="50000"/>
                    </a:schemeClr>
                  </a:gs>
                  <a:gs pos="44000">
                    <a:schemeClr val="accent5">
                      <a:lumMod val="75000"/>
                    </a:schemeClr>
                  </a:gs>
                  <a:gs pos="83000">
                    <a:schemeClr val="accent5">
                      <a:lumMod val="75000"/>
                    </a:schemeClr>
                  </a:gs>
                  <a:gs pos="100000">
                    <a:schemeClr val="accent5">
                      <a:lumMod val="20000"/>
                      <a:lumOff val="80000"/>
                    </a:schemeClr>
                  </a:gs>
                </a:gsLst>
                <a:lin ang="5400000" scaled="1"/>
              </a:gradFill>
              <a:round/>
            </a:ln>
            <a:effectLst>
              <a:outerShdw blurRad="57150" dist="19050" dir="5400000" algn="ctr" rotWithShape="0">
                <a:srgbClr val="000000">
                  <a:alpha val="63000"/>
                </a:srgbClr>
              </a:outerShdw>
            </a:effectLst>
          </c:spPr>
          <c:marker>
            <c:symbol val="none"/>
          </c:marker>
          <c:cat>
            <c:strRef>
              <c:f>Sheet8!$B$6:$B$9</c:f>
              <c:strCache>
                <c:ptCount val="4"/>
                <c:pt idx="0">
                  <c:v>2021/2022</c:v>
                </c:pt>
                <c:pt idx="1">
                  <c:v>2022/2023</c:v>
                </c:pt>
                <c:pt idx="2">
                  <c:v>2023/2024</c:v>
                </c:pt>
                <c:pt idx="3">
                  <c:v>2024/2025</c:v>
                </c:pt>
              </c:strCache>
            </c:strRef>
          </c:cat>
          <c:val>
            <c:numRef>
              <c:f>Sheet8!$C$6:$C$9</c:f>
              <c:numCache>
                <c:formatCode>General</c:formatCode>
                <c:ptCount val="4"/>
                <c:pt idx="0">
                  <c:v>2806</c:v>
                </c:pt>
                <c:pt idx="1">
                  <c:v>3387</c:v>
                </c:pt>
                <c:pt idx="2">
                  <c:v>3529</c:v>
                </c:pt>
                <c:pt idx="3">
                  <c:v>3936</c:v>
                </c:pt>
              </c:numCache>
            </c:numRef>
          </c:val>
          <c:smooth val="0"/>
          <c:extLst xmlns:c16r2="http://schemas.microsoft.com/office/drawing/2015/06/chart">
            <c:ext xmlns:c16="http://schemas.microsoft.com/office/drawing/2014/chart" uri="{C3380CC4-5D6E-409C-BE32-E72D297353CC}">
              <c16:uniqueId val="{00000000-7510-4587-BF58-5E0F1D21E185}"/>
            </c:ext>
          </c:extLst>
        </c:ser>
        <c:ser>
          <c:idx val="1"/>
          <c:order val="1"/>
          <c:tx>
            <c:strRef>
              <c:f>Sheet8!$D$5</c:f>
              <c:strCache>
                <c:ptCount val="1"/>
                <c:pt idx="0">
                  <c:v>Djevojčice</c:v>
                </c:pt>
              </c:strCache>
            </c:strRef>
          </c:tx>
          <c:spPr>
            <a:ln w="34925" cap="rnd">
              <a:gradFill>
                <a:gsLst>
                  <a:gs pos="0">
                    <a:srgbClr val="4472C4">
                      <a:lumMod val="75000"/>
                    </a:srgbClr>
                  </a:gs>
                  <a:gs pos="100000">
                    <a:srgbClr val="4472C4">
                      <a:lumMod val="20000"/>
                      <a:lumOff val="80000"/>
                    </a:srgbClr>
                  </a:gs>
                </a:gsLst>
                <a:lin ang="5400000" scaled="1"/>
              </a:gradFill>
              <a:round/>
            </a:ln>
            <a:effectLst>
              <a:outerShdw blurRad="57150" dist="19050" dir="5400000" algn="ctr" rotWithShape="0">
                <a:srgbClr val="000000">
                  <a:alpha val="63000"/>
                </a:srgbClr>
              </a:outerShdw>
            </a:effectLst>
          </c:spPr>
          <c:marker>
            <c:symbol val="none"/>
          </c:marker>
          <c:cat>
            <c:strRef>
              <c:f>Sheet8!$B$6:$B$9</c:f>
              <c:strCache>
                <c:ptCount val="4"/>
                <c:pt idx="0">
                  <c:v>2021/2022</c:v>
                </c:pt>
                <c:pt idx="1">
                  <c:v>2022/2023</c:v>
                </c:pt>
                <c:pt idx="2">
                  <c:v>2023/2024</c:v>
                </c:pt>
                <c:pt idx="3">
                  <c:v>2024/2025</c:v>
                </c:pt>
              </c:strCache>
            </c:strRef>
          </c:cat>
          <c:val>
            <c:numRef>
              <c:f>Sheet8!$D$6:$D$9</c:f>
              <c:numCache>
                <c:formatCode>General</c:formatCode>
                <c:ptCount val="4"/>
                <c:pt idx="0">
                  <c:v>1392</c:v>
                </c:pt>
                <c:pt idx="1">
                  <c:v>1681</c:v>
                </c:pt>
                <c:pt idx="2">
                  <c:v>1735</c:v>
                </c:pt>
                <c:pt idx="3">
                  <c:v>1855</c:v>
                </c:pt>
              </c:numCache>
            </c:numRef>
          </c:val>
          <c:smooth val="0"/>
          <c:extLst xmlns:c16r2="http://schemas.microsoft.com/office/drawing/2015/06/chart">
            <c:ext xmlns:c16="http://schemas.microsoft.com/office/drawing/2014/chart" uri="{C3380CC4-5D6E-409C-BE32-E72D297353CC}">
              <c16:uniqueId val="{00000001-7510-4587-BF58-5E0F1D21E185}"/>
            </c:ext>
          </c:extLst>
        </c:ser>
        <c:ser>
          <c:idx val="2"/>
          <c:order val="2"/>
          <c:tx>
            <c:strRef>
              <c:f>Sheet8!$E$5</c:f>
              <c:strCache>
                <c:ptCount val="1"/>
                <c:pt idx="0">
                  <c:v>Dječaci</c:v>
                </c:pt>
              </c:strCache>
            </c:strRef>
          </c:tx>
          <c:spPr>
            <a:ln w="34925" cap="rnd">
              <a:gradFill>
                <a:gsLst>
                  <a:gs pos="0">
                    <a:srgbClr val="FFC000">
                      <a:lumMod val="60000"/>
                      <a:lumOff val="40000"/>
                    </a:srgbClr>
                  </a:gs>
                  <a:gs pos="100000">
                    <a:srgbClr val="FFC000">
                      <a:lumMod val="20000"/>
                      <a:lumOff val="80000"/>
                    </a:srgbClr>
                  </a:gs>
                </a:gsLst>
                <a:lin ang="5400000" scaled="1"/>
              </a:gradFill>
              <a:round/>
            </a:ln>
            <a:effectLst>
              <a:outerShdw blurRad="40000" dist="23000" dir="5400000" rotWithShape="0">
                <a:srgbClr val="000000">
                  <a:alpha val="35000"/>
                </a:srgbClr>
              </a:outerShdw>
            </a:effectLst>
          </c:spPr>
          <c:marker>
            <c:symbol val="none"/>
          </c:marker>
          <c:cat>
            <c:strRef>
              <c:f>Sheet8!$B$6:$B$9</c:f>
              <c:strCache>
                <c:ptCount val="4"/>
                <c:pt idx="0">
                  <c:v>2021/2022</c:v>
                </c:pt>
                <c:pt idx="1">
                  <c:v>2022/2023</c:v>
                </c:pt>
                <c:pt idx="2">
                  <c:v>2023/2024</c:v>
                </c:pt>
                <c:pt idx="3">
                  <c:v>2024/2025</c:v>
                </c:pt>
              </c:strCache>
            </c:strRef>
          </c:cat>
          <c:val>
            <c:numRef>
              <c:f>Sheet8!$E$6:$E$9</c:f>
              <c:numCache>
                <c:formatCode>General</c:formatCode>
                <c:ptCount val="4"/>
                <c:pt idx="0">
                  <c:v>1414</c:v>
                </c:pt>
                <c:pt idx="1">
                  <c:v>1706</c:v>
                </c:pt>
                <c:pt idx="2">
                  <c:v>1794</c:v>
                </c:pt>
                <c:pt idx="3">
                  <c:v>2081</c:v>
                </c:pt>
              </c:numCache>
            </c:numRef>
          </c:val>
          <c:smooth val="0"/>
          <c:extLst xmlns:c16r2="http://schemas.microsoft.com/office/drawing/2015/06/chart">
            <c:ext xmlns:c16="http://schemas.microsoft.com/office/drawing/2014/chart" uri="{C3380CC4-5D6E-409C-BE32-E72D297353CC}">
              <c16:uniqueId val="{00000002-7510-4587-BF58-5E0F1D21E185}"/>
            </c:ext>
          </c:extLst>
        </c:ser>
        <c:dLbls>
          <c:showLegendKey val="0"/>
          <c:showVal val="0"/>
          <c:showCatName val="0"/>
          <c:showSerName val="0"/>
          <c:showPercent val="0"/>
          <c:showBubbleSize val="0"/>
        </c:dLbls>
        <c:smooth val="0"/>
        <c:axId val="298856528"/>
        <c:axId val="298858488"/>
      </c:lineChart>
      <c:catAx>
        <c:axId val="2988565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sr-Latn-RS"/>
          </a:p>
        </c:txPr>
        <c:crossAx val="298858488"/>
        <c:crosses val="autoZero"/>
        <c:auto val="1"/>
        <c:lblAlgn val="ctr"/>
        <c:lblOffset val="100"/>
        <c:noMultiLvlLbl val="0"/>
      </c:catAx>
      <c:valAx>
        <c:axId val="298858488"/>
        <c:scaling>
          <c:orientation val="minMax"/>
          <c:max val="4000"/>
          <c:min val="6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sr-Latn-RS"/>
          </a:p>
        </c:txPr>
        <c:crossAx val="298856528"/>
        <c:crosses val="autoZero"/>
        <c:crossBetween val="between"/>
        <c:majorUnit val="500"/>
        <c:minorUnit val="1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mj-lt"/>
        </a:defRPr>
      </a:pPr>
      <a:endParaRPr lang="sr-Latn-R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r>
              <a:rPr lang="bs-Latn-BA"/>
              <a:t>Djeca u</a:t>
            </a:r>
            <a:r>
              <a:rPr lang="bs-Latn-BA" baseline="0"/>
              <a:t> predškolskim ustanovama prema spolu</a:t>
            </a:r>
            <a:endParaRPr lang="bs-Latn-BA"/>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Sheet8!$C$17</c:f>
              <c:strCache>
                <c:ptCount val="1"/>
                <c:pt idx="0">
                  <c:v>Djevojčice</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Sheet8!$B$18:$B$21</c:f>
              <c:strCache>
                <c:ptCount val="4"/>
                <c:pt idx="0">
                  <c:v>2021/2022</c:v>
                </c:pt>
                <c:pt idx="1">
                  <c:v>2022/2023</c:v>
                </c:pt>
                <c:pt idx="2">
                  <c:v>2023/2024</c:v>
                </c:pt>
                <c:pt idx="3">
                  <c:v>2024/2025</c:v>
                </c:pt>
              </c:strCache>
            </c:strRef>
          </c:cat>
          <c:val>
            <c:numRef>
              <c:f>Sheet8!$C$18:$C$21</c:f>
              <c:numCache>
                <c:formatCode>0.00%</c:formatCode>
                <c:ptCount val="4"/>
                <c:pt idx="0">
                  <c:v>0.49607982893799002</c:v>
                </c:pt>
                <c:pt idx="1">
                  <c:v>0.49630941836433423</c:v>
                </c:pt>
                <c:pt idx="2">
                  <c:v>0.4916406914139983</c:v>
                </c:pt>
                <c:pt idx="3">
                  <c:v>0.47129065040650409</c:v>
                </c:pt>
              </c:numCache>
            </c:numRef>
          </c:val>
          <c:extLst xmlns:c16r2="http://schemas.microsoft.com/office/drawing/2015/06/chart">
            <c:ext xmlns:c16="http://schemas.microsoft.com/office/drawing/2014/chart" uri="{C3380CC4-5D6E-409C-BE32-E72D297353CC}">
              <c16:uniqueId val="{00000000-F2F4-446F-A7BE-1E2D75DAA4EF}"/>
            </c:ext>
          </c:extLst>
        </c:ser>
        <c:ser>
          <c:idx val="1"/>
          <c:order val="1"/>
          <c:tx>
            <c:strRef>
              <c:f>Sheet8!$D$17</c:f>
              <c:strCache>
                <c:ptCount val="1"/>
                <c:pt idx="0">
                  <c:v>Dječaci</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Sheet8!$B$18:$B$21</c:f>
              <c:strCache>
                <c:ptCount val="4"/>
                <c:pt idx="0">
                  <c:v>2021/2022</c:v>
                </c:pt>
                <c:pt idx="1">
                  <c:v>2022/2023</c:v>
                </c:pt>
                <c:pt idx="2">
                  <c:v>2023/2024</c:v>
                </c:pt>
                <c:pt idx="3">
                  <c:v>2024/2025</c:v>
                </c:pt>
              </c:strCache>
            </c:strRef>
          </c:cat>
          <c:val>
            <c:numRef>
              <c:f>Sheet8!$D$18:$D$21</c:f>
              <c:numCache>
                <c:formatCode>0.00%</c:formatCode>
                <c:ptCount val="4"/>
                <c:pt idx="0">
                  <c:v>0.50392017106201004</c:v>
                </c:pt>
                <c:pt idx="1">
                  <c:v>0.50369058163566582</c:v>
                </c:pt>
                <c:pt idx="2">
                  <c:v>0.50835930858600165</c:v>
                </c:pt>
                <c:pt idx="3">
                  <c:v>0.52870934959349591</c:v>
                </c:pt>
              </c:numCache>
            </c:numRef>
          </c:val>
          <c:extLst xmlns:c16r2="http://schemas.microsoft.com/office/drawing/2015/06/chart">
            <c:ext xmlns:c16="http://schemas.microsoft.com/office/drawing/2014/chart" uri="{C3380CC4-5D6E-409C-BE32-E72D297353CC}">
              <c16:uniqueId val="{00000001-F2F4-446F-A7BE-1E2D75DAA4EF}"/>
            </c:ext>
          </c:extLst>
        </c:ser>
        <c:dLbls>
          <c:dLblPos val="inEnd"/>
          <c:showLegendKey val="0"/>
          <c:showVal val="1"/>
          <c:showCatName val="0"/>
          <c:showSerName val="0"/>
          <c:showPercent val="0"/>
          <c:showBubbleSize val="0"/>
        </c:dLbls>
        <c:gapWidth val="100"/>
        <c:overlap val="-24"/>
        <c:axId val="371537832"/>
        <c:axId val="428842992"/>
        <c:extLst xmlns:c16r2="http://schemas.microsoft.com/office/drawing/2015/06/chart"/>
      </c:barChart>
      <c:catAx>
        <c:axId val="371537832"/>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8842992"/>
        <c:crosses val="autoZero"/>
        <c:auto val="1"/>
        <c:lblAlgn val="ctr"/>
        <c:lblOffset val="100"/>
        <c:noMultiLvlLbl val="0"/>
      </c:catAx>
      <c:valAx>
        <c:axId val="4288429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3715378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ysClr val="windowText" lastClr="000000"/>
                </a:solidFill>
                <a:latin typeface="+mj-lt"/>
                <a:ea typeface="+mn-ea"/>
                <a:cs typeface="+mn-cs"/>
              </a:defRPr>
            </a:pPr>
            <a:r>
              <a:rPr lang="bs-Latn-BA"/>
              <a:t>Učenici upisani u osnovne škole</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j-lt"/>
              <a:ea typeface="+mn-ea"/>
              <a:cs typeface="+mn-cs"/>
            </a:defRPr>
          </a:pPr>
          <a:endParaRPr lang="sr-Latn-RS"/>
        </a:p>
      </c:txPr>
    </c:title>
    <c:autoTitleDeleted val="0"/>
    <c:plotArea>
      <c:layout/>
      <c:lineChart>
        <c:grouping val="standard"/>
        <c:varyColors val="0"/>
        <c:ser>
          <c:idx val="0"/>
          <c:order val="0"/>
          <c:tx>
            <c:strRef>
              <c:f>Sheet9!$D$11</c:f>
              <c:strCache>
                <c:ptCount val="1"/>
                <c:pt idx="0">
                  <c:v>Ukupno</c:v>
                </c:pt>
              </c:strCache>
            </c:strRef>
          </c:tx>
          <c:spPr>
            <a:ln w="34925" cap="rnd">
              <a:gradFill>
                <a:gsLst>
                  <a:gs pos="0">
                    <a:schemeClr val="accent5">
                      <a:lumMod val="50000"/>
                    </a:schemeClr>
                  </a:gs>
                  <a:gs pos="44000">
                    <a:schemeClr val="accent5">
                      <a:lumMod val="75000"/>
                    </a:schemeClr>
                  </a:gs>
                  <a:gs pos="83000">
                    <a:schemeClr val="accent5">
                      <a:lumMod val="75000"/>
                    </a:schemeClr>
                  </a:gs>
                  <a:gs pos="100000">
                    <a:schemeClr val="accent5">
                      <a:lumMod val="20000"/>
                      <a:lumOff val="80000"/>
                    </a:schemeClr>
                  </a:gs>
                </a:gsLst>
                <a:lin ang="5400000" scaled="1"/>
              </a:gradFill>
              <a:round/>
            </a:ln>
            <a:effectLst>
              <a:outerShdw blurRad="57150" dist="19050" dir="5400000" algn="ctr" rotWithShape="0">
                <a:srgbClr val="000000">
                  <a:alpha val="63000"/>
                </a:srgbClr>
              </a:outerShdw>
            </a:effectLst>
          </c:spPr>
          <c:marker>
            <c:symbol val="none"/>
          </c:marker>
          <c:cat>
            <c:strRef>
              <c:f>Sheet9!$C$12:$C$15</c:f>
              <c:strCache>
                <c:ptCount val="4"/>
                <c:pt idx="0">
                  <c:v>2021/2022</c:v>
                </c:pt>
                <c:pt idx="1">
                  <c:v>2022/2023</c:v>
                </c:pt>
                <c:pt idx="2">
                  <c:v>2023/2024</c:v>
                </c:pt>
                <c:pt idx="3">
                  <c:v>2024/2025</c:v>
                </c:pt>
              </c:strCache>
            </c:strRef>
          </c:cat>
          <c:val>
            <c:numRef>
              <c:f>Sheet9!$D$12:$D$15</c:f>
              <c:numCache>
                <c:formatCode>General</c:formatCode>
                <c:ptCount val="4"/>
                <c:pt idx="0">
                  <c:v>35907</c:v>
                </c:pt>
                <c:pt idx="1">
                  <c:v>35212</c:v>
                </c:pt>
                <c:pt idx="2">
                  <c:v>34675</c:v>
                </c:pt>
                <c:pt idx="3">
                  <c:v>33436</c:v>
                </c:pt>
              </c:numCache>
            </c:numRef>
          </c:val>
          <c:smooth val="0"/>
          <c:extLst xmlns:c16r2="http://schemas.microsoft.com/office/drawing/2015/06/chart">
            <c:ext xmlns:c16="http://schemas.microsoft.com/office/drawing/2014/chart" uri="{C3380CC4-5D6E-409C-BE32-E72D297353CC}">
              <c16:uniqueId val="{00000000-C1A9-4E92-8ECC-A3DA3192FA8A}"/>
            </c:ext>
          </c:extLst>
        </c:ser>
        <c:ser>
          <c:idx val="1"/>
          <c:order val="1"/>
          <c:tx>
            <c:strRef>
              <c:f>Sheet9!$E$11</c:f>
              <c:strCache>
                <c:ptCount val="1"/>
                <c:pt idx="0">
                  <c:v>Učenice</c:v>
                </c:pt>
              </c:strCache>
            </c:strRef>
          </c:tx>
          <c:spPr>
            <a:ln w="34925" cap="rnd">
              <a:gradFill>
                <a:gsLst>
                  <a:gs pos="0">
                    <a:schemeClr val="accent4">
                      <a:lumMod val="20000"/>
                      <a:lumOff val="80000"/>
                    </a:schemeClr>
                  </a:gs>
                  <a:gs pos="74000">
                    <a:schemeClr val="accent4"/>
                  </a:gs>
                  <a:gs pos="83000">
                    <a:schemeClr val="accent4"/>
                  </a:gs>
                  <a:gs pos="100000">
                    <a:schemeClr val="accent4"/>
                  </a:gs>
                </a:gsLst>
                <a:lin ang="5400000" scaled="1"/>
              </a:gradFill>
              <a:round/>
            </a:ln>
            <a:effectLst>
              <a:outerShdw blurRad="57150" dist="19050" dir="5400000" algn="ctr" rotWithShape="0">
                <a:srgbClr val="000000">
                  <a:alpha val="63000"/>
                </a:srgbClr>
              </a:outerShdw>
            </a:effectLst>
          </c:spPr>
          <c:marker>
            <c:symbol val="none"/>
          </c:marker>
          <c:cat>
            <c:strRef>
              <c:f>Sheet9!$C$12:$C$15</c:f>
              <c:strCache>
                <c:ptCount val="4"/>
                <c:pt idx="0">
                  <c:v>2021/2022</c:v>
                </c:pt>
                <c:pt idx="1">
                  <c:v>2022/2023</c:v>
                </c:pt>
                <c:pt idx="2">
                  <c:v>2023/2024</c:v>
                </c:pt>
                <c:pt idx="3">
                  <c:v>2024/2025</c:v>
                </c:pt>
              </c:strCache>
            </c:strRef>
          </c:cat>
          <c:val>
            <c:numRef>
              <c:f>Sheet9!$E$12:$E$15</c:f>
              <c:numCache>
                <c:formatCode>General</c:formatCode>
                <c:ptCount val="4"/>
                <c:pt idx="0">
                  <c:v>17459</c:v>
                </c:pt>
                <c:pt idx="1">
                  <c:v>17206</c:v>
                </c:pt>
                <c:pt idx="2">
                  <c:v>16948</c:v>
                </c:pt>
                <c:pt idx="3">
                  <c:v>16332</c:v>
                </c:pt>
              </c:numCache>
            </c:numRef>
          </c:val>
          <c:smooth val="0"/>
          <c:extLst xmlns:c16r2="http://schemas.microsoft.com/office/drawing/2015/06/chart">
            <c:ext xmlns:c16="http://schemas.microsoft.com/office/drawing/2014/chart" uri="{C3380CC4-5D6E-409C-BE32-E72D297353CC}">
              <c16:uniqueId val="{00000001-C1A9-4E92-8ECC-A3DA3192FA8A}"/>
            </c:ext>
          </c:extLst>
        </c:ser>
        <c:ser>
          <c:idx val="2"/>
          <c:order val="2"/>
          <c:tx>
            <c:strRef>
              <c:f>Sheet9!$F$11</c:f>
              <c:strCache>
                <c:ptCount val="1"/>
                <c:pt idx="0">
                  <c:v>Učenici</c:v>
                </c:pt>
              </c:strCache>
            </c:strRef>
          </c:tx>
          <c:spPr>
            <a:ln w="34925" cap="rnd">
              <a:solidFill>
                <a:schemeClr val="accent5"/>
              </a:solidFill>
              <a:round/>
            </a:ln>
            <a:effectLst>
              <a:outerShdw blurRad="40000" dist="23000" dir="5400000" rotWithShape="0">
                <a:srgbClr val="000000">
                  <a:alpha val="35000"/>
                </a:srgbClr>
              </a:outerShdw>
            </a:effectLst>
          </c:spPr>
          <c:marker>
            <c:symbol val="none"/>
          </c:marker>
          <c:cat>
            <c:strRef>
              <c:f>Sheet9!$C$12:$C$15</c:f>
              <c:strCache>
                <c:ptCount val="4"/>
                <c:pt idx="0">
                  <c:v>2021/2022</c:v>
                </c:pt>
                <c:pt idx="1">
                  <c:v>2022/2023</c:v>
                </c:pt>
                <c:pt idx="2">
                  <c:v>2023/2024</c:v>
                </c:pt>
                <c:pt idx="3">
                  <c:v>2024/2025</c:v>
                </c:pt>
              </c:strCache>
            </c:strRef>
          </c:cat>
          <c:val>
            <c:numRef>
              <c:f>Sheet9!$F$12:$F$15</c:f>
              <c:numCache>
                <c:formatCode>General</c:formatCode>
                <c:ptCount val="4"/>
                <c:pt idx="0">
                  <c:v>18448</c:v>
                </c:pt>
                <c:pt idx="1">
                  <c:v>18006</c:v>
                </c:pt>
                <c:pt idx="2">
                  <c:v>17727</c:v>
                </c:pt>
                <c:pt idx="3">
                  <c:v>17104</c:v>
                </c:pt>
              </c:numCache>
            </c:numRef>
          </c:val>
          <c:smooth val="0"/>
          <c:extLst xmlns:c16r2="http://schemas.microsoft.com/office/drawing/2015/06/chart">
            <c:ext xmlns:c16="http://schemas.microsoft.com/office/drawing/2014/chart" uri="{C3380CC4-5D6E-409C-BE32-E72D297353CC}">
              <c16:uniqueId val="{00000002-C1A9-4E92-8ECC-A3DA3192FA8A}"/>
            </c:ext>
          </c:extLst>
        </c:ser>
        <c:dLbls>
          <c:showLegendKey val="0"/>
          <c:showVal val="0"/>
          <c:showCatName val="0"/>
          <c:showSerName val="0"/>
          <c:showPercent val="0"/>
          <c:showBubbleSize val="0"/>
        </c:dLbls>
        <c:smooth val="0"/>
        <c:axId val="428843776"/>
        <c:axId val="428841424"/>
      </c:lineChart>
      <c:catAx>
        <c:axId val="4288437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sr-Latn-RS"/>
          </a:p>
        </c:txPr>
        <c:crossAx val="428841424"/>
        <c:crosses val="autoZero"/>
        <c:auto val="1"/>
        <c:lblAlgn val="ctr"/>
        <c:lblOffset val="100"/>
        <c:noMultiLvlLbl val="0"/>
      </c:catAx>
      <c:valAx>
        <c:axId val="42884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sr-Latn-RS"/>
          </a:p>
        </c:txPr>
        <c:crossAx val="428843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mj-lt"/>
        </a:defRPr>
      </a:pPr>
      <a:endParaRPr lang="sr-Latn-R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bs-Latn-BA"/>
              <a:t>Učenici</a:t>
            </a:r>
            <a:r>
              <a:rPr lang="bs-Latn-BA" baseline="0"/>
              <a:t> upisani u osnovne škole u 2024/2025. godini</a:t>
            </a:r>
            <a:endParaRPr lang="bs-Latn-BA"/>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sr-Latn-RS"/>
        </a:p>
      </c:txPr>
    </c:title>
    <c:autoTitleDeleted val="0"/>
    <c:plotArea>
      <c:layout>
        <c:manualLayout>
          <c:layoutTarget val="inner"/>
          <c:xMode val="edge"/>
          <c:yMode val="edge"/>
          <c:x val="0.25790775303709912"/>
          <c:y val="0.22407685680511311"/>
          <c:w val="0.45796422955624311"/>
          <c:h val="0.77172216545450889"/>
        </c:manualLayout>
      </c:layout>
      <c:pieChart>
        <c:varyColors val="1"/>
        <c:ser>
          <c:idx val="0"/>
          <c:order val="0"/>
          <c:explosion val="5"/>
          <c:dPt>
            <c:idx val="0"/>
            <c:bubble3D val="0"/>
            <c:spPr>
              <a:solidFill>
                <a:srgbClr val="4472C4">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59AE-4552-9121-033307C6E49B}"/>
              </c:ext>
            </c:extLst>
          </c:dPt>
          <c:dPt>
            <c:idx val="1"/>
            <c:bubble3D val="0"/>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59AE-4552-9121-033307C6E49B}"/>
              </c:ext>
            </c:extLst>
          </c:dPt>
          <c:dPt>
            <c:idx val="2"/>
            <c:bubble3D val="0"/>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59AE-4552-9121-033307C6E49B}"/>
              </c:ext>
            </c:extLst>
          </c:dPt>
          <c:dLbls>
            <c:dLbl>
              <c:idx val="0"/>
              <c:layout>
                <c:manualLayout>
                  <c:x val="-0.10453913849004169"/>
                  <c:y val="-1.9670877471251347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9AE-4552-9121-033307C6E49B}"/>
                </c:ext>
                <c:ext xmlns:c15="http://schemas.microsoft.com/office/drawing/2012/chart" uri="{CE6537A1-D6FC-4f65-9D91-7224C49458BB}"/>
              </c:extLst>
            </c:dLbl>
            <c:dLbl>
              <c:idx val="2"/>
              <c:layout>
                <c:manualLayout>
                  <c:x val="8.4725182285396591E-2"/>
                  <c:y val="0.1661067948869120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9AE-4552-9121-033307C6E49B}"/>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Sheet9!$E$24:$F$24</c:f>
              <c:strCache>
                <c:ptCount val="2"/>
                <c:pt idx="0">
                  <c:v>Učenice</c:v>
                </c:pt>
                <c:pt idx="1">
                  <c:v>Učenici</c:v>
                </c:pt>
              </c:strCache>
            </c:strRef>
          </c:cat>
          <c:val>
            <c:numRef>
              <c:f>Sheet9!$E$25:$F$25</c:f>
              <c:numCache>
                <c:formatCode>0.0%</c:formatCode>
                <c:ptCount val="2"/>
                <c:pt idx="0">
                  <c:v>0.48845555688479481</c:v>
                </c:pt>
                <c:pt idx="1">
                  <c:v>0.51154444311520519</c:v>
                </c:pt>
              </c:numCache>
            </c:numRef>
          </c:val>
          <c:extLst xmlns:c16r2="http://schemas.microsoft.com/office/drawing/2015/06/chart">
            <c:ext xmlns:c16="http://schemas.microsoft.com/office/drawing/2014/chart" uri="{C3380CC4-5D6E-409C-BE32-E72D297353CC}">
              <c16:uniqueId val="{00000006-59AE-4552-9121-033307C6E49B}"/>
            </c:ext>
          </c:extLst>
        </c:ser>
        <c:dLbls>
          <c:dLblPos val="ctr"/>
          <c:showLegendKey val="0"/>
          <c:showVal val="0"/>
          <c:showCatName val="0"/>
          <c:showSerName val="0"/>
          <c:showPercent val="1"/>
          <c:showBubbleSize val="0"/>
          <c:showLeaderLines val="0"/>
        </c:dLbls>
        <c:firstSliceAng val="5"/>
      </c:pieChart>
      <c:spPr>
        <a:noFill/>
        <a:ln>
          <a:noFill/>
        </a:ln>
        <a:effectLst/>
      </c:spPr>
    </c:plotArea>
    <c:legend>
      <c:legendPos val="r"/>
      <c:layout>
        <c:manualLayout>
          <c:xMode val="edge"/>
          <c:yMode val="edge"/>
          <c:x val="0.73717146827234836"/>
          <c:y val="0.44625389452217751"/>
          <c:w val="0.12635794349235757"/>
          <c:h val="0.2776355293717781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defRPr>
      </a:pPr>
      <a:endParaRPr lang="sr-Latn-R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r>
              <a:rPr lang="bs-Latn-BA"/>
              <a:t>Nastavnici u osnovnom obrazovanju prema spolu</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Sheet9!$D$44</c:f>
              <c:strCache>
                <c:ptCount val="1"/>
                <c:pt idx="0">
                  <c:v>Žene</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Sheet9!$C$45:$C$48</c:f>
              <c:strCache>
                <c:ptCount val="4"/>
                <c:pt idx="0">
                  <c:v>2021/2022</c:v>
                </c:pt>
                <c:pt idx="1">
                  <c:v>2022/2023</c:v>
                </c:pt>
                <c:pt idx="2">
                  <c:v>2023/2024</c:v>
                </c:pt>
                <c:pt idx="3">
                  <c:v>2024/2025</c:v>
                </c:pt>
              </c:strCache>
            </c:strRef>
          </c:cat>
          <c:val>
            <c:numRef>
              <c:f>Sheet9!$D$45:$D$48</c:f>
              <c:numCache>
                <c:formatCode>0.00%</c:formatCode>
                <c:ptCount val="4"/>
                <c:pt idx="0">
                  <c:v>0.67916276163698841</c:v>
                </c:pt>
                <c:pt idx="1">
                  <c:v>0.69139194139194138</c:v>
                </c:pt>
                <c:pt idx="2">
                  <c:v>0.7014475271411339</c:v>
                </c:pt>
                <c:pt idx="3">
                  <c:v>0.69184471862774599</c:v>
                </c:pt>
              </c:numCache>
            </c:numRef>
          </c:val>
          <c:extLst xmlns:c16r2="http://schemas.microsoft.com/office/drawing/2015/06/chart">
            <c:ext xmlns:c16="http://schemas.microsoft.com/office/drawing/2014/chart" uri="{C3380CC4-5D6E-409C-BE32-E72D297353CC}">
              <c16:uniqueId val="{00000000-143E-4842-8649-BA59CD82FB21}"/>
            </c:ext>
          </c:extLst>
        </c:ser>
        <c:ser>
          <c:idx val="1"/>
          <c:order val="1"/>
          <c:tx>
            <c:strRef>
              <c:f>Sheet9!$E$44</c:f>
              <c:strCache>
                <c:ptCount val="1"/>
                <c:pt idx="0">
                  <c:v>Muškarci</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Sheet9!$C$45:$C$48</c:f>
              <c:strCache>
                <c:ptCount val="4"/>
                <c:pt idx="0">
                  <c:v>2021/2022</c:v>
                </c:pt>
                <c:pt idx="1">
                  <c:v>2022/2023</c:v>
                </c:pt>
                <c:pt idx="2">
                  <c:v>2023/2024</c:v>
                </c:pt>
                <c:pt idx="3">
                  <c:v>2024/2025</c:v>
                </c:pt>
              </c:strCache>
            </c:strRef>
          </c:cat>
          <c:val>
            <c:numRef>
              <c:f>Sheet9!$E$45:$E$48</c:f>
              <c:numCache>
                <c:formatCode>0.00%</c:formatCode>
                <c:ptCount val="4"/>
                <c:pt idx="0">
                  <c:v>0.32083723836301159</c:v>
                </c:pt>
                <c:pt idx="1">
                  <c:v>0.30860805860805862</c:v>
                </c:pt>
                <c:pt idx="2">
                  <c:v>0.2985524728588661</c:v>
                </c:pt>
                <c:pt idx="3">
                  <c:v>0.30815528137225401</c:v>
                </c:pt>
              </c:numCache>
            </c:numRef>
          </c:val>
          <c:extLst xmlns:c16r2="http://schemas.microsoft.com/office/drawing/2015/06/chart">
            <c:ext xmlns:c16="http://schemas.microsoft.com/office/drawing/2014/chart" uri="{C3380CC4-5D6E-409C-BE32-E72D297353CC}">
              <c16:uniqueId val="{00000001-143E-4842-8649-BA59CD82FB21}"/>
            </c:ext>
          </c:extLst>
        </c:ser>
        <c:dLbls>
          <c:dLblPos val="inEnd"/>
          <c:showLegendKey val="0"/>
          <c:showVal val="1"/>
          <c:showCatName val="0"/>
          <c:showSerName val="0"/>
          <c:showPercent val="0"/>
          <c:showBubbleSize val="0"/>
        </c:dLbls>
        <c:gapWidth val="100"/>
        <c:overlap val="-24"/>
        <c:axId val="428841032"/>
        <c:axId val="428842208"/>
        <c:extLst xmlns:c16r2="http://schemas.microsoft.com/office/drawing/2015/06/chart"/>
      </c:barChart>
      <c:catAx>
        <c:axId val="428841032"/>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8842208"/>
        <c:crosses val="autoZero"/>
        <c:auto val="1"/>
        <c:lblAlgn val="ctr"/>
        <c:lblOffset val="100"/>
        <c:noMultiLvlLbl val="0"/>
      </c:catAx>
      <c:valAx>
        <c:axId val="4288422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88410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r>
              <a:rPr lang="bs-Latn-BA"/>
              <a:t>Upisani učenici u srednje škole prema godinama i spolu</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Sheet12!$C$10</c:f>
              <c:strCache>
                <c:ptCount val="1"/>
                <c:pt idx="0">
                  <c:v>Ukupno</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Sheet12!$B$11:$B$14</c:f>
              <c:strCache>
                <c:ptCount val="4"/>
                <c:pt idx="0">
                  <c:v>2021/2022</c:v>
                </c:pt>
                <c:pt idx="1">
                  <c:v>2022/2023</c:v>
                </c:pt>
                <c:pt idx="2">
                  <c:v>2023/2024</c:v>
                </c:pt>
                <c:pt idx="3">
                  <c:v>2024/2025</c:v>
                </c:pt>
              </c:strCache>
            </c:strRef>
          </c:cat>
          <c:val>
            <c:numRef>
              <c:f>Sheet12!$C$11:$C$14</c:f>
              <c:numCache>
                <c:formatCode>General</c:formatCode>
                <c:ptCount val="4"/>
                <c:pt idx="0">
                  <c:v>14384</c:v>
                </c:pt>
                <c:pt idx="1">
                  <c:v>14128</c:v>
                </c:pt>
                <c:pt idx="2">
                  <c:v>14117</c:v>
                </c:pt>
                <c:pt idx="3">
                  <c:v>14091</c:v>
                </c:pt>
              </c:numCache>
            </c:numRef>
          </c:val>
          <c:extLst xmlns:c16r2="http://schemas.microsoft.com/office/drawing/2015/06/chart">
            <c:ext xmlns:c16="http://schemas.microsoft.com/office/drawing/2014/chart" uri="{C3380CC4-5D6E-409C-BE32-E72D297353CC}">
              <c16:uniqueId val="{00000000-F445-4EE3-8D42-9028F2B7AA2B}"/>
            </c:ext>
          </c:extLst>
        </c:ser>
        <c:ser>
          <c:idx val="1"/>
          <c:order val="1"/>
          <c:tx>
            <c:strRef>
              <c:f>Sheet12!$D$10</c:f>
              <c:strCache>
                <c:ptCount val="1"/>
                <c:pt idx="0">
                  <c:v>Učenice</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Sheet12!$B$11:$B$14</c:f>
              <c:strCache>
                <c:ptCount val="4"/>
                <c:pt idx="0">
                  <c:v>2021/2022</c:v>
                </c:pt>
                <c:pt idx="1">
                  <c:v>2022/2023</c:v>
                </c:pt>
                <c:pt idx="2">
                  <c:v>2023/2024</c:v>
                </c:pt>
                <c:pt idx="3">
                  <c:v>2024/2025</c:v>
                </c:pt>
              </c:strCache>
            </c:strRef>
          </c:cat>
          <c:val>
            <c:numRef>
              <c:f>Sheet12!$D$11:$D$14</c:f>
              <c:numCache>
                <c:formatCode>General</c:formatCode>
                <c:ptCount val="4"/>
                <c:pt idx="0">
                  <c:v>7187</c:v>
                </c:pt>
                <c:pt idx="1">
                  <c:v>7080</c:v>
                </c:pt>
                <c:pt idx="2">
                  <c:v>7120</c:v>
                </c:pt>
                <c:pt idx="3">
                  <c:v>7083</c:v>
                </c:pt>
              </c:numCache>
            </c:numRef>
          </c:val>
          <c:extLst xmlns:c16r2="http://schemas.microsoft.com/office/drawing/2015/06/chart">
            <c:ext xmlns:c16="http://schemas.microsoft.com/office/drawing/2014/chart" uri="{C3380CC4-5D6E-409C-BE32-E72D297353CC}">
              <c16:uniqueId val="{00000001-F445-4EE3-8D42-9028F2B7AA2B}"/>
            </c:ext>
          </c:extLst>
        </c:ser>
        <c:ser>
          <c:idx val="2"/>
          <c:order val="2"/>
          <c:tx>
            <c:strRef>
              <c:f>Sheet12!$E$10</c:f>
              <c:strCache>
                <c:ptCount val="1"/>
                <c:pt idx="0">
                  <c:v>Učenici</c:v>
                </c:pt>
              </c:strCache>
            </c:strRef>
          </c:tx>
          <c:spPr>
            <a:gradFill rotWithShape="1">
              <a:gsLst>
                <a:gs pos="0">
                  <a:srgbClr val="70AD47">
                    <a:lumMod val="60000"/>
                    <a:lumOff val="40000"/>
                  </a:srgbClr>
                </a:gs>
                <a:gs pos="100000">
                  <a:srgbClr val="70AD47">
                    <a:lumMod val="40000"/>
                    <a:lumOff val="60000"/>
                  </a:srgbClr>
                </a:gs>
              </a:gsLst>
              <a:lin ang="5400000" scaled="1"/>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Sheet12!$B$11:$B$14</c:f>
              <c:strCache>
                <c:ptCount val="4"/>
                <c:pt idx="0">
                  <c:v>2021/2022</c:v>
                </c:pt>
                <c:pt idx="1">
                  <c:v>2022/2023</c:v>
                </c:pt>
                <c:pt idx="2">
                  <c:v>2023/2024</c:v>
                </c:pt>
                <c:pt idx="3">
                  <c:v>2024/2025</c:v>
                </c:pt>
              </c:strCache>
            </c:strRef>
          </c:cat>
          <c:val>
            <c:numRef>
              <c:f>Sheet12!$E$11:$E$14</c:f>
              <c:numCache>
                <c:formatCode>General</c:formatCode>
                <c:ptCount val="4"/>
                <c:pt idx="0">
                  <c:v>7197</c:v>
                </c:pt>
                <c:pt idx="1">
                  <c:v>7048</c:v>
                </c:pt>
                <c:pt idx="2">
                  <c:v>6997</c:v>
                </c:pt>
                <c:pt idx="3">
                  <c:v>7008</c:v>
                </c:pt>
              </c:numCache>
            </c:numRef>
          </c:val>
          <c:extLst xmlns:c16r2="http://schemas.microsoft.com/office/drawing/2015/06/chart">
            <c:ext xmlns:c16="http://schemas.microsoft.com/office/drawing/2014/chart" uri="{C3380CC4-5D6E-409C-BE32-E72D297353CC}">
              <c16:uniqueId val="{00000002-F445-4EE3-8D42-9028F2B7AA2B}"/>
            </c:ext>
          </c:extLst>
        </c:ser>
        <c:dLbls>
          <c:dLblPos val="inEnd"/>
          <c:showLegendKey val="0"/>
          <c:showVal val="1"/>
          <c:showCatName val="0"/>
          <c:showSerName val="0"/>
          <c:showPercent val="0"/>
          <c:showBubbleSize val="0"/>
        </c:dLbls>
        <c:gapWidth val="100"/>
        <c:overlap val="-24"/>
        <c:axId val="427478696"/>
        <c:axId val="427480656"/>
        <c:extLst xmlns:c16r2="http://schemas.microsoft.com/office/drawing/2015/06/chart"/>
      </c:barChart>
      <c:catAx>
        <c:axId val="427478696"/>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7480656"/>
        <c:crosses val="autoZero"/>
        <c:auto val="1"/>
        <c:lblAlgn val="ctr"/>
        <c:lblOffset val="100"/>
        <c:noMultiLvlLbl val="0"/>
      </c:catAx>
      <c:valAx>
        <c:axId val="42748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7478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r>
              <a:rPr lang="bs-Latn-BA"/>
              <a:t>Učenici upisani u srednje škole prema vrsti škole i spolu</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Sheet13!$B$11</c:f>
              <c:strCache>
                <c:ptCount val="1"/>
                <c:pt idx="0">
                  <c:v>Učenice</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Sheet13!$C$10:$G$10</c:f>
              <c:strCache>
                <c:ptCount val="5"/>
                <c:pt idx="0">
                  <c:v>Gimnazija</c:v>
                </c:pt>
                <c:pt idx="1">
                  <c:v>Tehničke i srodne škole</c:v>
                </c:pt>
                <c:pt idx="2">
                  <c:v>Stručne škole</c:v>
                </c:pt>
                <c:pt idx="3">
                  <c:v>Umjetničke škole</c:v>
                </c:pt>
                <c:pt idx="4">
                  <c:v>Vjerske škole </c:v>
                </c:pt>
              </c:strCache>
            </c:strRef>
          </c:cat>
          <c:val>
            <c:numRef>
              <c:f>Sheet13!$C$11:$G$11</c:f>
              <c:numCache>
                <c:formatCode>0.00%</c:formatCode>
                <c:ptCount val="5"/>
                <c:pt idx="0">
                  <c:v>0.64638346727898965</c:v>
                </c:pt>
                <c:pt idx="1">
                  <c:v>0.55915657946114794</c:v>
                </c:pt>
                <c:pt idx="2">
                  <c:v>0.31448311156601844</c:v>
                </c:pt>
                <c:pt idx="3">
                  <c:v>0.72687224669603523</c:v>
                </c:pt>
                <c:pt idx="4">
                  <c:v>0.50282485875706218</c:v>
                </c:pt>
              </c:numCache>
            </c:numRef>
          </c:val>
          <c:extLst xmlns:c16r2="http://schemas.microsoft.com/office/drawing/2015/06/chart">
            <c:ext xmlns:c16="http://schemas.microsoft.com/office/drawing/2014/chart" uri="{C3380CC4-5D6E-409C-BE32-E72D297353CC}">
              <c16:uniqueId val="{00000000-8ABC-45E3-B468-302324044D2E}"/>
            </c:ext>
          </c:extLst>
        </c:ser>
        <c:ser>
          <c:idx val="1"/>
          <c:order val="1"/>
          <c:tx>
            <c:strRef>
              <c:f>Sheet13!$B$12</c:f>
              <c:strCache>
                <c:ptCount val="1"/>
                <c:pt idx="0">
                  <c:v>Učenici</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Sheet13!$C$10:$G$10</c:f>
              <c:strCache>
                <c:ptCount val="5"/>
                <c:pt idx="0">
                  <c:v>Gimnazija</c:v>
                </c:pt>
                <c:pt idx="1">
                  <c:v>Tehničke i srodne škole</c:v>
                </c:pt>
                <c:pt idx="2">
                  <c:v>Stručne škole</c:v>
                </c:pt>
                <c:pt idx="3">
                  <c:v>Umjetničke škole</c:v>
                </c:pt>
                <c:pt idx="4">
                  <c:v>Vjerske škole </c:v>
                </c:pt>
              </c:strCache>
            </c:strRef>
          </c:cat>
          <c:val>
            <c:numRef>
              <c:f>Sheet13!$C$12:$G$12</c:f>
              <c:numCache>
                <c:formatCode>0.00%</c:formatCode>
                <c:ptCount val="5"/>
                <c:pt idx="0">
                  <c:v>0.35361653272101035</c:v>
                </c:pt>
                <c:pt idx="1">
                  <c:v>0.44084342053885206</c:v>
                </c:pt>
                <c:pt idx="2">
                  <c:v>0.68551688843398151</c:v>
                </c:pt>
                <c:pt idx="3">
                  <c:v>0.27312775330396477</c:v>
                </c:pt>
                <c:pt idx="4">
                  <c:v>0.49717514124293782</c:v>
                </c:pt>
              </c:numCache>
            </c:numRef>
          </c:val>
          <c:extLst xmlns:c16r2="http://schemas.microsoft.com/office/drawing/2015/06/chart">
            <c:ext xmlns:c16="http://schemas.microsoft.com/office/drawing/2014/chart" uri="{C3380CC4-5D6E-409C-BE32-E72D297353CC}">
              <c16:uniqueId val="{00000001-8ABC-45E3-B468-302324044D2E}"/>
            </c:ext>
          </c:extLst>
        </c:ser>
        <c:dLbls>
          <c:dLblPos val="inEnd"/>
          <c:showLegendKey val="0"/>
          <c:showVal val="1"/>
          <c:showCatName val="0"/>
          <c:showSerName val="0"/>
          <c:showPercent val="0"/>
          <c:showBubbleSize val="0"/>
        </c:dLbls>
        <c:gapWidth val="100"/>
        <c:overlap val="-24"/>
        <c:axId val="427479088"/>
        <c:axId val="427481440"/>
        <c:extLst xmlns:c16r2="http://schemas.microsoft.com/office/drawing/2015/06/chart"/>
      </c:barChart>
      <c:catAx>
        <c:axId val="427479088"/>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7481440"/>
        <c:crosses val="autoZero"/>
        <c:auto val="1"/>
        <c:lblAlgn val="ctr"/>
        <c:lblOffset val="100"/>
        <c:noMultiLvlLbl val="0"/>
      </c:catAx>
      <c:valAx>
        <c:axId val="4274814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74790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t>Zastupljenost žena u kantonalnim skupštinama</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sr-Latn-RS"/>
        </a:p>
      </c:txPr>
    </c:title>
    <c:autoTitleDeleted val="0"/>
    <c:plotArea>
      <c:layout/>
      <c:barChart>
        <c:barDir val="col"/>
        <c:grouping val="clustered"/>
        <c:varyColors val="0"/>
        <c:ser>
          <c:idx val="0"/>
          <c:order val="0"/>
          <c:tx>
            <c:strRef>
              <c:f>'Sheet1 (2)'!$B$1:$B$2</c:f>
              <c:strCache>
                <c:ptCount val="2"/>
                <c:pt idx="0">
                  <c:v>Izabrane žene 2014</c:v>
                </c:pt>
                <c:pt idx="1">
                  <c:v>%</c:v>
                </c:pt>
              </c:strCache>
            </c:strRef>
          </c:tx>
          <c:spPr>
            <a:solidFill>
              <a:schemeClr val="accent3">
                <a:lumMod val="75000"/>
              </a:schemeClr>
            </a:solidFill>
            <a:ln>
              <a:noFill/>
            </a:ln>
            <a:effectLst/>
          </c:spPr>
          <c:invertIfNegative val="0"/>
          <c:dPt>
            <c:idx val="2"/>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1-9029-41C4-B34E-241121818B1F}"/>
              </c:ext>
            </c:extLst>
          </c:dPt>
          <c:cat>
            <c:strRef>
              <c:f>'Sheet1 (2)'!$A$3:$A$13</c:f>
              <c:strCache>
                <c:ptCount val="11"/>
                <c:pt idx="0">
                  <c:v>USK</c:v>
                </c:pt>
                <c:pt idx="1">
                  <c:v>PK</c:v>
                </c:pt>
                <c:pt idx="2">
                  <c:v>TK</c:v>
                </c:pt>
                <c:pt idx="3">
                  <c:v>ZDK</c:v>
                </c:pt>
                <c:pt idx="4">
                  <c:v>BPK</c:v>
                </c:pt>
                <c:pt idx="5">
                  <c:v>SBK</c:v>
                </c:pt>
                <c:pt idx="6">
                  <c:v>HNK</c:v>
                </c:pt>
                <c:pt idx="7">
                  <c:v>ZKH</c:v>
                </c:pt>
                <c:pt idx="8">
                  <c:v>KS</c:v>
                </c:pt>
                <c:pt idx="9">
                  <c:v>K10</c:v>
                </c:pt>
                <c:pt idx="10">
                  <c:v>Prosjek</c:v>
                </c:pt>
              </c:strCache>
            </c:strRef>
          </c:cat>
          <c:val>
            <c:numRef>
              <c:f>'Sheet1 (2)'!$B$3:$B$13</c:f>
              <c:numCache>
                <c:formatCode>0%</c:formatCode>
                <c:ptCount val="11"/>
                <c:pt idx="0">
                  <c:v>7.0000000000000007E-2</c:v>
                </c:pt>
                <c:pt idx="1">
                  <c:v>0.24</c:v>
                </c:pt>
                <c:pt idx="2">
                  <c:v>0.23</c:v>
                </c:pt>
                <c:pt idx="3">
                  <c:v>0.2</c:v>
                </c:pt>
                <c:pt idx="4">
                  <c:v>0.16</c:v>
                </c:pt>
                <c:pt idx="5">
                  <c:v>0.13</c:v>
                </c:pt>
                <c:pt idx="6">
                  <c:v>0.23</c:v>
                </c:pt>
                <c:pt idx="7">
                  <c:v>0.3</c:v>
                </c:pt>
                <c:pt idx="8">
                  <c:v>0.17</c:v>
                </c:pt>
                <c:pt idx="9">
                  <c:v>0.04</c:v>
                </c:pt>
                <c:pt idx="10">
                  <c:v>0.18</c:v>
                </c:pt>
              </c:numCache>
            </c:numRef>
          </c:val>
          <c:extLst xmlns:c16r2="http://schemas.microsoft.com/office/drawing/2015/06/chart">
            <c:ext xmlns:c16="http://schemas.microsoft.com/office/drawing/2014/chart" uri="{C3380CC4-5D6E-409C-BE32-E72D297353CC}">
              <c16:uniqueId val="{00000002-9029-41C4-B34E-241121818B1F}"/>
            </c:ext>
          </c:extLst>
        </c:ser>
        <c:ser>
          <c:idx val="1"/>
          <c:order val="1"/>
          <c:tx>
            <c:strRef>
              <c:f>'Sheet1 (2)'!$C$1:$C$2</c:f>
              <c:strCache>
                <c:ptCount val="2"/>
                <c:pt idx="0">
                  <c:v>Izabrane žene 2018</c:v>
                </c:pt>
                <c:pt idx="1">
                  <c:v>%</c:v>
                </c:pt>
              </c:strCache>
            </c:strRef>
          </c:tx>
          <c:spPr>
            <a:solidFill>
              <a:schemeClr val="accent3"/>
            </a:solidFill>
            <a:ln>
              <a:noFill/>
            </a:ln>
            <a:effectLst/>
          </c:spPr>
          <c:invertIfNegative val="0"/>
          <c:dPt>
            <c:idx val="2"/>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4-9029-41C4-B34E-241121818B1F}"/>
              </c:ext>
            </c:extLst>
          </c:dPt>
          <c:cat>
            <c:strRef>
              <c:f>'Sheet1 (2)'!$A$3:$A$13</c:f>
              <c:strCache>
                <c:ptCount val="11"/>
                <c:pt idx="0">
                  <c:v>USK</c:v>
                </c:pt>
                <c:pt idx="1">
                  <c:v>PK</c:v>
                </c:pt>
                <c:pt idx="2">
                  <c:v>TK</c:v>
                </c:pt>
                <c:pt idx="3">
                  <c:v>ZDK</c:v>
                </c:pt>
                <c:pt idx="4">
                  <c:v>BPK</c:v>
                </c:pt>
                <c:pt idx="5">
                  <c:v>SBK</c:v>
                </c:pt>
                <c:pt idx="6">
                  <c:v>HNK</c:v>
                </c:pt>
                <c:pt idx="7">
                  <c:v>ZKH</c:v>
                </c:pt>
                <c:pt idx="8">
                  <c:v>KS</c:v>
                </c:pt>
                <c:pt idx="9">
                  <c:v>K10</c:v>
                </c:pt>
                <c:pt idx="10">
                  <c:v>Prosjek</c:v>
                </c:pt>
              </c:strCache>
            </c:strRef>
          </c:cat>
          <c:val>
            <c:numRef>
              <c:f>'Sheet1 (2)'!$C$3:$C$13</c:f>
              <c:numCache>
                <c:formatCode>0%</c:formatCode>
                <c:ptCount val="11"/>
                <c:pt idx="0">
                  <c:v>0.3</c:v>
                </c:pt>
                <c:pt idx="1">
                  <c:v>0.19047619047619047</c:v>
                </c:pt>
                <c:pt idx="2">
                  <c:v>0.37142857142857144</c:v>
                </c:pt>
                <c:pt idx="3">
                  <c:v>0.4</c:v>
                </c:pt>
                <c:pt idx="4">
                  <c:v>0.2</c:v>
                </c:pt>
                <c:pt idx="5">
                  <c:v>0.4</c:v>
                </c:pt>
                <c:pt idx="6">
                  <c:v>0.46666666666666667</c:v>
                </c:pt>
                <c:pt idx="7">
                  <c:v>0.34782608695652173</c:v>
                </c:pt>
                <c:pt idx="8">
                  <c:v>0.34285714285714286</c:v>
                </c:pt>
                <c:pt idx="9">
                  <c:v>0.125</c:v>
                </c:pt>
                <c:pt idx="10">
                  <c:v>0.31442546583850939</c:v>
                </c:pt>
              </c:numCache>
            </c:numRef>
          </c:val>
          <c:extLst xmlns:c16r2="http://schemas.microsoft.com/office/drawing/2015/06/chart">
            <c:ext xmlns:c16="http://schemas.microsoft.com/office/drawing/2014/chart" uri="{C3380CC4-5D6E-409C-BE32-E72D297353CC}">
              <c16:uniqueId val="{00000005-9029-41C4-B34E-241121818B1F}"/>
            </c:ext>
          </c:extLst>
        </c:ser>
        <c:ser>
          <c:idx val="2"/>
          <c:order val="2"/>
          <c:tx>
            <c:strRef>
              <c:f>Sheet1!$D$1:$D$2</c:f>
              <c:strCache>
                <c:ptCount val="2"/>
                <c:pt idx="0">
                  <c:v>Total seats</c:v>
                </c:pt>
              </c:strCache>
            </c:strRef>
          </c:tx>
          <c:spPr>
            <a:solidFill>
              <a:schemeClr val="accent3"/>
            </a:solidFill>
            <a:ln>
              <a:noFill/>
            </a:ln>
            <a:effectLst/>
          </c:spPr>
          <c:invertIfNegative val="0"/>
          <c:cat>
            <c:strRef>
              <c:f>Sheet1!$A$3:$A$13</c:f>
              <c:strCache>
                <c:ptCount val="11"/>
                <c:pt idx="0">
                  <c:v>Una-Sana</c:v>
                </c:pt>
                <c:pt idx="1">
                  <c:v>Posavina</c:v>
                </c:pt>
                <c:pt idx="2">
                  <c:v>Tuzla</c:v>
                </c:pt>
                <c:pt idx="3">
                  <c:v>Zenica-Doboj </c:v>
                </c:pt>
                <c:pt idx="4">
                  <c:v>Goražde</c:v>
                </c:pt>
                <c:pt idx="5">
                  <c:v>Central Bosna</c:v>
                </c:pt>
                <c:pt idx="6">
                  <c:v>Hercegovina-Neretva</c:v>
                </c:pt>
                <c:pt idx="7">
                  <c:v>West Herzegovina</c:v>
                </c:pt>
                <c:pt idx="8">
                  <c:v>Sarajevo</c:v>
                </c:pt>
                <c:pt idx="9">
                  <c:v>Canton 10</c:v>
                </c:pt>
                <c:pt idx="10">
                  <c:v>Total Cantons</c:v>
                </c:pt>
              </c:strCache>
            </c:strRef>
          </c:cat>
          <c:val>
            <c:numRef>
              <c:f>Sheet1!$D$3:$D$13</c:f>
            </c:numRef>
          </c:val>
          <c:extLst xmlns:c16r2="http://schemas.microsoft.com/office/drawing/2015/06/chart">
            <c:ext xmlns:c16="http://schemas.microsoft.com/office/drawing/2014/chart" uri="{C3380CC4-5D6E-409C-BE32-E72D297353CC}">
              <c16:uniqueId val="{00000006-9029-41C4-B34E-241121818B1F}"/>
            </c:ext>
          </c:extLst>
        </c:ser>
        <c:ser>
          <c:idx val="3"/>
          <c:order val="3"/>
          <c:tx>
            <c:strRef>
              <c:f>Sheet1!$E$1:$E$2</c:f>
              <c:strCache>
                <c:ptCount val="2"/>
                <c:pt idx="0">
                  <c:v>Women</c:v>
                </c:pt>
              </c:strCache>
            </c:strRef>
          </c:tx>
          <c:spPr>
            <a:solidFill>
              <a:schemeClr val="accent4"/>
            </a:solidFill>
            <a:ln>
              <a:noFill/>
            </a:ln>
            <a:effectLst/>
          </c:spPr>
          <c:invertIfNegative val="0"/>
          <c:cat>
            <c:strRef>
              <c:f>Sheet1!$A$3:$A$13</c:f>
              <c:strCache>
                <c:ptCount val="11"/>
                <c:pt idx="0">
                  <c:v>Una-Sana</c:v>
                </c:pt>
                <c:pt idx="1">
                  <c:v>Posavina</c:v>
                </c:pt>
                <c:pt idx="2">
                  <c:v>Tuzla</c:v>
                </c:pt>
                <c:pt idx="3">
                  <c:v>Zenica-Doboj </c:v>
                </c:pt>
                <c:pt idx="4">
                  <c:v>Goražde</c:v>
                </c:pt>
                <c:pt idx="5">
                  <c:v>Central Bosna</c:v>
                </c:pt>
                <c:pt idx="6">
                  <c:v>Hercegovina-Neretva</c:v>
                </c:pt>
                <c:pt idx="7">
                  <c:v>West Herzegovina</c:v>
                </c:pt>
                <c:pt idx="8">
                  <c:v>Sarajevo</c:v>
                </c:pt>
                <c:pt idx="9">
                  <c:v>Canton 10</c:v>
                </c:pt>
                <c:pt idx="10">
                  <c:v>Total Cantons</c:v>
                </c:pt>
              </c:strCache>
            </c:strRef>
          </c:cat>
          <c:val>
            <c:numRef>
              <c:f>Sheet1!$E$3:$E$13</c:f>
            </c:numRef>
          </c:val>
          <c:extLst xmlns:c16r2="http://schemas.microsoft.com/office/drawing/2015/06/chart">
            <c:ext xmlns:c16="http://schemas.microsoft.com/office/drawing/2014/chart" uri="{C3380CC4-5D6E-409C-BE32-E72D297353CC}">
              <c16:uniqueId val="{00000007-9029-41C4-B34E-241121818B1F}"/>
            </c:ext>
          </c:extLst>
        </c:ser>
        <c:ser>
          <c:idx val="4"/>
          <c:order val="4"/>
          <c:tx>
            <c:strRef>
              <c:f>Sheet1!$F$1:$F$2</c:f>
              <c:strCache>
                <c:ptCount val="2"/>
                <c:pt idx="0">
                  <c:v>Total seats</c:v>
                </c:pt>
              </c:strCache>
            </c:strRef>
          </c:tx>
          <c:spPr>
            <a:solidFill>
              <a:schemeClr val="accent5"/>
            </a:solidFill>
            <a:ln>
              <a:noFill/>
            </a:ln>
            <a:effectLst/>
          </c:spPr>
          <c:invertIfNegative val="0"/>
          <c:cat>
            <c:strRef>
              <c:f>Sheet1!$A$3:$A$13</c:f>
              <c:strCache>
                <c:ptCount val="11"/>
                <c:pt idx="0">
                  <c:v>Una-Sana</c:v>
                </c:pt>
                <c:pt idx="1">
                  <c:v>Posavina</c:v>
                </c:pt>
                <c:pt idx="2">
                  <c:v>Tuzla</c:v>
                </c:pt>
                <c:pt idx="3">
                  <c:v>Zenica-Doboj </c:v>
                </c:pt>
                <c:pt idx="4">
                  <c:v>Goražde</c:v>
                </c:pt>
                <c:pt idx="5">
                  <c:v>Central Bosna</c:v>
                </c:pt>
                <c:pt idx="6">
                  <c:v>Hercegovina-Neretva</c:v>
                </c:pt>
                <c:pt idx="7">
                  <c:v>West Herzegovina</c:v>
                </c:pt>
                <c:pt idx="8">
                  <c:v>Sarajevo</c:v>
                </c:pt>
                <c:pt idx="9">
                  <c:v>Canton 10</c:v>
                </c:pt>
                <c:pt idx="10">
                  <c:v>Total Cantons</c:v>
                </c:pt>
              </c:strCache>
            </c:strRef>
          </c:cat>
          <c:val>
            <c:numRef>
              <c:f>Sheet1!$F$3:$F$13</c:f>
            </c:numRef>
          </c:val>
          <c:extLst xmlns:c16r2="http://schemas.microsoft.com/office/drawing/2015/06/chart">
            <c:ext xmlns:c16="http://schemas.microsoft.com/office/drawing/2014/chart" uri="{C3380CC4-5D6E-409C-BE32-E72D297353CC}">
              <c16:uniqueId val="{00000008-9029-41C4-B34E-241121818B1F}"/>
            </c:ext>
          </c:extLst>
        </c:ser>
        <c:ser>
          <c:idx val="5"/>
          <c:order val="5"/>
          <c:tx>
            <c:strRef>
              <c:f>Sheet1!$G$1:$G$2</c:f>
              <c:strCache>
                <c:ptCount val="2"/>
                <c:pt idx="0">
                  <c:v>Women</c:v>
                </c:pt>
              </c:strCache>
            </c:strRef>
          </c:tx>
          <c:spPr>
            <a:solidFill>
              <a:schemeClr val="accent6"/>
            </a:solidFill>
            <a:ln>
              <a:noFill/>
            </a:ln>
            <a:effectLst/>
          </c:spPr>
          <c:invertIfNegative val="0"/>
          <c:cat>
            <c:strRef>
              <c:f>Sheet1!$A$3:$A$13</c:f>
              <c:strCache>
                <c:ptCount val="11"/>
                <c:pt idx="0">
                  <c:v>Una-Sana</c:v>
                </c:pt>
                <c:pt idx="1">
                  <c:v>Posavina</c:v>
                </c:pt>
                <c:pt idx="2">
                  <c:v>Tuzla</c:v>
                </c:pt>
                <c:pt idx="3">
                  <c:v>Zenica-Doboj </c:v>
                </c:pt>
                <c:pt idx="4">
                  <c:v>Goražde</c:v>
                </c:pt>
                <c:pt idx="5">
                  <c:v>Central Bosna</c:v>
                </c:pt>
                <c:pt idx="6">
                  <c:v>Hercegovina-Neretva</c:v>
                </c:pt>
                <c:pt idx="7">
                  <c:v>West Herzegovina</c:v>
                </c:pt>
                <c:pt idx="8">
                  <c:v>Sarajevo</c:v>
                </c:pt>
                <c:pt idx="9">
                  <c:v>Canton 10</c:v>
                </c:pt>
                <c:pt idx="10">
                  <c:v>Total Cantons</c:v>
                </c:pt>
              </c:strCache>
            </c:strRef>
          </c:cat>
          <c:val>
            <c:numRef>
              <c:f>Sheet1!$G$3:$G$13</c:f>
            </c:numRef>
          </c:val>
          <c:extLst xmlns:c16r2="http://schemas.microsoft.com/office/drawing/2015/06/chart">
            <c:ext xmlns:c16="http://schemas.microsoft.com/office/drawing/2014/chart" uri="{C3380CC4-5D6E-409C-BE32-E72D297353CC}">
              <c16:uniqueId val="{00000009-9029-41C4-B34E-241121818B1F}"/>
            </c:ext>
          </c:extLst>
        </c:ser>
        <c:ser>
          <c:idx val="6"/>
          <c:order val="6"/>
          <c:tx>
            <c:strRef>
              <c:f>'Sheet1 (2)'!$H$1:$H$2</c:f>
              <c:strCache>
                <c:ptCount val="2"/>
                <c:pt idx="0">
                  <c:v>Izabrane žene 2022</c:v>
                </c:pt>
                <c:pt idx="1">
                  <c:v>%</c:v>
                </c:pt>
              </c:strCache>
            </c:strRef>
          </c:tx>
          <c:spPr>
            <a:solidFill>
              <a:schemeClr val="accent3">
                <a:lumMod val="60000"/>
                <a:lumOff val="40000"/>
              </a:schemeClr>
            </a:solidFill>
            <a:ln>
              <a:noFill/>
            </a:ln>
            <a:effectLst/>
          </c:spPr>
          <c:invertIfNegative val="0"/>
          <c:dPt>
            <c:idx val="2"/>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B-9029-41C4-B34E-241121818B1F}"/>
              </c:ext>
            </c:extLst>
          </c:dPt>
          <c:cat>
            <c:strRef>
              <c:f>'Sheet1 (2)'!$A$3:$A$13</c:f>
              <c:strCache>
                <c:ptCount val="11"/>
                <c:pt idx="0">
                  <c:v>USK</c:v>
                </c:pt>
                <c:pt idx="1">
                  <c:v>PK</c:v>
                </c:pt>
                <c:pt idx="2">
                  <c:v>TK</c:v>
                </c:pt>
                <c:pt idx="3">
                  <c:v>ZDK</c:v>
                </c:pt>
                <c:pt idx="4">
                  <c:v>BPK</c:v>
                </c:pt>
                <c:pt idx="5">
                  <c:v>SBK</c:v>
                </c:pt>
                <c:pt idx="6">
                  <c:v>HNK</c:v>
                </c:pt>
                <c:pt idx="7">
                  <c:v>ZKH</c:v>
                </c:pt>
                <c:pt idx="8">
                  <c:v>KS</c:v>
                </c:pt>
                <c:pt idx="9">
                  <c:v>K10</c:v>
                </c:pt>
                <c:pt idx="10">
                  <c:v>Prosjek</c:v>
                </c:pt>
              </c:strCache>
            </c:strRef>
          </c:cat>
          <c:val>
            <c:numRef>
              <c:f>'Sheet1 (2)'!$H$3:$H$13</c:f>
              <c:numCache>
                <c:formatCode>0%</c:formatCode>
                <c:ptCount val="11"/>
                <c:pt idx="0">
                  <c:v>0.33333333333333331</c:v>
                </c:pt>
                <c:pt idx="1">
                  <c:v>0.23809523809523808</c:v>
                </c:pt>
                <c:pt idx="2">
                  <c:v>0.31428571428571428</c:v>
                </c:pt>
                <c:pt idx="3">
                  <c:v>0.4</c:v>
                </c:pt>
                <c:pt idx="4">
                  <c:v>0.2</c:v>
                </c:pt>
                <c:pt idx="5">
                  <c:v>0.43333333333333335</c:v>
                </c:pt>
                <c:pt idx="6">
                  <c:v>0.36666666666666664</c:v>
                </c:pt>
                <c:pt idx="7">
                  <c:v>0.21739130434782608</c:v>
                </c:pt>
                <c:pt idx="8">
                  <c:v>0.22857142857142856</c:v>
                </c:pt>
                <c:pt idx="9">
                  <c:v>0.125</c:v>
                </c:pt>
                <c:pt idx="10">
                  <c:v>0.28566770186335405</c:v>
                </c:pt>
              </c:numCache>
            </c:numRef>
          </c:val>
          <c:extLst xmlns:c16r2="http://schemas.microsoft.com/office/drawing/2015/06/chart">
            <c:ext xmlns:c16="http://schemas.microsoft.com/office/drawing/2014/chart" uri="{C3380CC4-5D6E-409C-BE32-E72D297353CC}">
              <c16:uniqueId val="{0000000C-9029-41C4-B34E-241121818B1F}"/>
            </c:ext>
          </c:extLst>
        </c:ser>
        <c:dLbls>
          <c:showLegendKey val="0"/>
          <c:showVal val="0"/>
          <c:showCatName val="0"/>
          <c:showSerName val="0"/>
          <c:showPercent val="0"/>
          <c:showBubbleSize val="0"/>
        </c:dLbls>
        <c:gapWidth val="150"/>
        <c:axId val="427475168"/>
        <c:axId val="427481048"/>
      </c:barChart>
      <c:catAx>
        <c:axId val="42747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427481048"/>
        <c:crosses val="autoZero"/>
        <c:auto val="1"/>
        <c:lblAlgn val="ctr"/>
        <c:lblOffset val="100"/>
        <c:noMultiLvlLbl val="0"/>
      </c:catAx>
      <c:valAx>
        <c:axId val="427481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4274751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r>
              <a:rPr lang="bs-Latn-BA"/>
              <a:t>Spolna struktura stanovništva prema staronoj strukturi u TK, 30.06.2023. godine</a:t>
            </a:r>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Sheet2!$J$18</c:f>
              <c:strCache>
                <c:ptCount val="1"/>
                <c:pt idx="0">
                  <c:v>Muškarci</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Sheet2!$K$17:$M$17</c:f>
              <c:strCache>
                <c:ptCount val="3"/>
                <c:pt idx="0">
                  <c:v>0-14</c:v>
                </c:pt>
                <c:pt idx="1">
                  <c:v>15-64</c:v>
                </c:pt>
                <c:pt idx="2">
                  <c:v>65 +</c:v>
                </c:pt>
              </c:strCache>
            </c:strRef>
          </c:cat>
          <c:val>
            <c:numRef>
              <c:f>Sheet2!$K$18:$M$18</c:f>
              <c:numCache>
                <c:formatCode>0.0%</c:formatCode>
                <c:ptCount val="3"/>
                <c:pt idx="0">
                  <c:v>0.50390578866562064</c:v>
                </c:pt>
                <c:pt idx="1">
                  <c:v>0.49788876661305342</c:v>
                </c:pt>
                <c:pt idx="2">
                  <c:v>0.43329652484572911</c:v>
                </c:pt>
              </c:numCache>
            </c:numRef>
          </c:val>
          <c:extLst xmlns:c16r2="http://schemas.microsoft.com/office/drawing/2015/06/chart">
            <c:ext xmlns:c16="http://schemas.microsoft.com/office/drawing/2014/chart" uri="{C3380CC4-5D6E-409C-BE32-E72D297353CC}">
              <c16:uniqueId val="{00000000-9DFE-450F-890F-5E60CE88B5C6}"/>
            </c:ext>
          </c:extLst>
        </c:ser>
        <c:ser>
          <c:idx val="1"/>
          <c:order val="1"/>
          <c:tx>
            <c:strRef>
              <c:f>Sheet2!$J$19</c:f>
              <c:strCache>
                <c:ptCount val="1"/>
                <c:pt idx="0">
                  <c:v>Žene</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Sheet2!$K$17:$M$17</c:f>
              <c:strCache>
                <c:ptCount val="3"/>
                <c:pt idx="0">
                  <c:v>0-14</c:v>
                </c:pt>
                <c:pt idx="1">
                  <c:v>15-64</c:v>
                </c:pt>
                <c:pt idx="2">
                  <c:v>65 +</c:v>
                </c:pt>
              </c:strCache>
            </c:strRef>
          </c:cat>
          <c:val>
            <c:numRef>
              <c:f>Sheet2!$K$19:$M$19</c:f>
              <c:numCache>
                <c:formatCode>0.0%</c:formatCode>
                <c:ptCount val="3"/>
                <c:pt idx="0">
                  <c:v>0.49609421133437936</c:v>
                </c:pt>
                <c:pt idx="1">
                  <c:v>0.50211123338694663</c:v>
                </c:pt>
                <c:pt idx="2">
                  <c:v>0.56670347515427089</c:v>
                </c:pt>
              </c:numCache>
            </c:numRef>
          </c:val>
          <c:extLst xmlns:c16r2="http://schemas.microsoft.com/office/drawing/2015/06/chart">
            <c:ext xmlns:c16="http://schemas.microsoft.com/office/drawing/2014/chart" uri="{C3380CC4-5D6E-409C-BE32-E72D297353CC}">
              <c16:uniqueId val="{00000001-9DFE-450F-890F-5E60CE88B5C6}"/>
            </c:ext>
          </c:extLst>
        </c:ser>
        <c:dLbls>
          <c:dLblPos val="inEnd"/>
          <c:showLegendKey val="0"/>
          <c:showVal val="1"/>
          <c:showCatName val="0"/>
          <c:showSerName val="0"/>
          <c:showPercent val="0"/>
          <c:showBubbleSize val="0"/>
        </c:dLbls>
        <c:gapWidth val="100"/>
        <c:overlap val="-24"/>
        <c:axId val="433617400"/>
        <c:axId val="371536656"/>
        <c:extLst xmlns:c16r2="http://schemas.microsoft.com/office/drawing/2015/06/chart"/>
      </c:barChart>
      <c:catAx>
        <c:axId val="433617400"/>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371536656"/>
        <c:crosses val="autoZero"/>
        <c:auto val="1"/>
        <c:lblAlgn val="ctr"/>
        <c:lblOffset val="100"/>
        <c:noMultiLvlLbl val="0"/>
      </c:catAx>
      <c:valAx>
        <c:axId val="3715366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336174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200" b="0" i="0" u="none" strike="noStrike" kern="1200" baseline="0">
                <a:solidFill>
                  <a:schemeClr val="tx1"/>
                </a:solidFill>
                <a:latin typeface="+mn-lt"/>
                <a:ea typeface="+mn-ea"/>
                <a:cs typeface="+mn-cs"/>
              </a:defRPr>
            </a:pPr>
            <a:r>
              <a:rPr lang="bs-Latn-BA" sz="1200" b="0"/>
              <a:t>Ukupna zaposlenost i nezaposlenost po godinama u Tuzlanskom kantonu</a:t>
            </a:r>
            <a:endParaRPr lang="en-US" sz="1200" b="0"/>
          </a:p>
          <a:p>
            <a:pPr algn="ctr" rtl="0">
              <a:defRPr sz="1200" b="0"/>
            </a:pPr>
            <a:endParaRPr lang="en-US" sz="1200" b="0"/>
          </a:p>
        </c:rich>
      </c:tx>
      <c:layout>
        <c:manualLayout>
          <c:xMode val="edge"/>
          <c:yMode val="edge"/>
          <c:x val="0.15640266841644795"/>
          <c:y val="2.7777777777777776E-2"/>
        </c:manualLayout>
      </c:layout>
      <c:overlay val="0"/>
      <c:spPr>
        <a:noFill/>
        <a:ln>
          <a:noFill/>
        </a:ln>
        <a:effectLst/>
      </c:spPr>
      <c:txPr>
        <a:bodyPr rot="0" spcFirstLastPara="1" vertOverflow="ellipsis" vert="horz" wrap="square" anchor="ctr" anchorCtr="1"/>
        <a:lstStyle/>
        <a:p>
          <a:pPr algn="ctr" rtl="0">
            <a:defRPr sz="1200" b="0" i="0" u="none" strike="noStrike" kern="1200" baseline="0">
              <a:solidFill>
                <a:schemeClr val="tx1"/>
              </a:solidFill>
              <a:latin typeface="+mn-lt"/>
              <a:ea typeface="+mn-ea"/>
              <a:cs typeface="+mn-cs"/>
            </a:defRPr>
          </a:pPr>
          <a:endParaRPr lang="sr-Latn-RS"/>
        </a:p>
      </c:txPr>
    </c:title>
    <c:autoTitleDeleted val="0"/>
    <c:plotArea>
      <c:layout/>
      <c:lineChart>
        <c:grouping val="standard"/>
        <c:varyColors val="0"/>
        <c:ser>
          <c:idx val="0"/>
          <c:order val="0"/>
          <c:tx>
            <c:strRef>
              <c:f>Sheet3!$B$3</c:f>
              <c:strCache>
                <c:ptCount val="1"/>
                <c:pt idx="0">
                  <c:v>Zaposleni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numRef>
              <c:f>Sheet3!$C$2:$H$2</c:f>
              <c:numCache>
                <c:formatCode>General</c:formatCode>
                <c:ptCount val="6"/>
                <c:pt idx="0">
                  <c:v>2019</c:v>
                </c:pt>
                <c:pt idx="1">
                  <c:v>2020</c:v>
                </c:pt>
                <c:pt idx="2">
                  <c:v>2021</c:v>
                </c:pt>
                <c:pt idx="3">
                  <c:v>2022</c:v>
                </c:pt>
                <c:pt idx="4">
                  <c:v>2023</c:v>
                </c:pt>
                <c:pt idx="5">
                  <c:v>2024</c:v>
                </c:pt>
              </c:numCache>
            </c:numRef>
          </c:cat>
          <c:val>
            <c:numRef>
              <c:f>Sheet3!$C$3:$H$3</c:f>
              <c:numCache>
                <c:formatCode>General</c:formatCode>
                <c:ptCount val="6"/>
                <c:pt idx="0">
                  <c:v>99067</c:v>
                </c:pt>
                <c:pt idx="1">
                  <c:v>97863</c:v>
                </c:pt>
                <c:pt idx="2">
                  <c:v>99589</c:v>
                </c:pt>
                <c:pt idx="3">
                  <c:v>101192</c:v>
                </c:pt>
                <c:pt idx="4">
                  <c:v>101715</c:v>
                </c:pt>
                <c:pt idx="5">
                  <c:v>102838</c:v>
                </c:pt>
              </c:numCache>
            </c:numRef>
          </c:val>
          <c:smooth val="0"/>
          <c:extLst xmlns:c16r2="http://schemas.microsoft.com/office/drawing/2015/06/chart">
            <c:ext xmlns:c16="http://schemas.microsoft.com/office/drawing/2014/chart" uri="{C3380CC4-5D6E-409C-BE32-E72D297353CC}">
              <c16:uniqueId val="{00000000-C38F-4416-9C4F-EC9291BA2713}"/>
            </c:ext>
          </c:extLst>
        </c:ser>
        <c:ser>
          <c:idx val="1"/>
          <c:order val="1"/>
          <c:tx>
            <c:strRef>
              <c:f>Sheet3!$B$4</c:f>
              <c:strCache>
                <c:ptCount val="1"/>
                <c:pt idx="0">
                  <c:v>Nezaposleni</c:v>
                </c:pt>
              </c:strCache>
            </c:strRef>
          </c:tx>
          <c:spPr>
            <a:ln w="34925" cap="rnd">
              <a:solidFill>
                <a:schemeClr val="accent4">
                  <a:lumMod val="40000"/>
                  <a:lumOff val="60000"/>
                </a:schemeClr>
              </a:solidFill>
              <a:round/>
            </a:ln>
            <a:effectLst>
              <a:outerShdw blurRad="57150" dist="19050" dir="5400000" algn="ctr" rotWithShape="0">
                <a:srgbClr val="000000">
                  <a:alpha val="63000"/>
                </a:srgbClr>
              </a:outerShdw>
            </a:effectLst>
          </c:spPr>
          <c:marker>
            <c:symbol val="none"/>
          </c:marker>
          <c:cat>
            <c:numRef>
              <c:f>Sheet3!$C$2:$H$2</c:f>
              <c:numCache>
                <c:formatCode>General</c:formatCode>
                <c:ptCount val="6"/>
                <c:pt idx="0">
                  <c:v>2019</c:v>
                </c:pt>
                <c:pt idx="1">
                  <c:v>2020</c:v>
                </c:pt>
                <c:pt idx="2">
                  <c:v>2021</c:v>
                </c:pt>
                <c:pt idx="3">
                  <c:v>2022</c:v>
                </c:pt>
                <c:pt idx="4">
                  <c:v>2023</c:v>
                </c:pt>
                <c:pt idx="5">
                  <c:v>2024</c:v>
                </c:pt>
              </c:numCache>
            </c:numRef>
          </c:cat>
          <c:val>
            <c:numRef>
              <c:f>Sheet3!$C$4:$H$4</c:f>
              <c:numCache>
                <c:formatCode>General</c:formatCode>
                <c:ptCount val="6"/>
                <c:pt idx="0">
                  <c:v>73965</c:v>
                </c:pt>
                <c:pt idx="1">
                  <c:v>76878</c:v>
                </c:pt>
                <c:pt idx="2">
                  <c:v>70301</c:v>
                </c:pt>
                <c:pt idx="3">
                  <c:v>68213</c:v>
                </c:pt>
                <c:pt idx="4">
                  <c:v>64488</c:v>
                </c:pt>
                <c:pt idx="5">
                  <c:v>60459</c:v>
                </c:pt>
              </c:numCache>
            </c:numRef>
          </c:val>
          <c:smooth val="0"/>
          <c:extLst xmlns:c16r2="http://schemas.microsoft.com/office/drawing/2015/06/chart">
            <c:ext xmlns:c16="http://schemas.microsoft.com/office/drawing/2014/chart" uri="{C3380CC4-5D6E-409C-BE32-E72D297353CC}">
              <c16:uniqueId val="{00000001-C38F-4416-9C4F-EC9291BA2713}"/>
            </c:ext>
          </c:extLst>
        </c:ser>
        <c:dLbls>
          <c:showLegendKey val="0"/>
          <c:showVal val="0"/>
          <c:showCatName val="0"/>
          <c:showSerName val="0"/>
          <c:showPercent val="0"/>
          <c:showBubbleSize val="0"/>
        </c:dLbls>
        <c:smooth val="0"/>
        <c:axId val="371538224"/>
        <c:axId val="371538616"/>
      </c:lineChart>
      <c:catAx>
        <c:axId val="371538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371538616"/>
        <c:crossesAt val="1000"/>
        <c:auto val="1"/>
        <c:lblAlgn val="ctr"/>
        <c:lblOffset val="100"/>
        <c:noMultiLvlLbl val="0"/>
      </c:catAx>
      <c:valAx>
        <c:axId val="371538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3715382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r>
              <a:rPr lang="bs-Latn-BA"/>
              <a:t>Procenat nezaposlenih u poređenju 2024. godine u odnosu</a:t>
            </a:r>
            <a:r>
              <a:rPr lang="bs-Latn-BA" baseline="0"/>
              <a:t> na 2023. i 2022. godinu</a:t>
            </a:r>
            <a:endParaRPr lang="en-US"/>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Sheet4!$C$19</c:f>
              <c:strCache>
                <c:ptCount val="1"/>
                <c:pt idx="0">
                  <c:v>Žene </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Sheet4!$D$18:$F$18</c:f>
              <c:numCache>
                <c:formatCode>General</c:formatCode>
                <c:ptCount val="3"/>
                <c:pt idx="0">
                  <c:v>2022</c:v>
                </c:pt>
                <c:pt idx="1">
                  <c:v>2023</c:v>
                </c:pt>
                <c:pt idx="2">
                  <c:v>2024</c:v>
                </c:pt>
              </c:numCache>
            </c:numRef>
          </c:cat>
          <c:val>
            <c:numRef>
              <c:f>Sheet4!$D$19:$F$19</c:f>
              <c:numCache>
                <c:formatCode>0.00%</c:formatCode>
                <c:ptCount val="3"/>
                <c:pt idx="0">
                  <c:v>0.63249999999999995</c:v>
                </c:pt>
                <c:pt idx="1">
                  <c:v>0.64229999999999998</c:v>
                </c:pt>
                <c:pt idx="2">
                  <c:v>0.65139999999999998</c:v>
                </c:pt>
              </c:numCache>
            </c:numRef>
          </c:val>
          <c:extLst xmlns:c16r2="http://schemas.microsoft.com/office/drawing/2015/06/chart">
            <c:ext xmlns:c16="http://schemas.microsoft.com/office/drawing/2014/chart" uri="{C3380CC4-5D6E-409C-BE32-E72D297353CC}">
              <c16:uniqueId val="{00000000-EE79-43FD-987D-0F445E8096DD}"/>
            </c:ext>
          </c:extLst>
        </c:ser>
        <c:ser>
          <c:idx val="1"/>
          <c:order val="1"/>
          <c:tx>
            <c:strRef>
              <c:f>Sheet4!$C$20</c:f>
              <c:strCache>
                <c:ptCount val="1"/>
                <c:pt idx="0">
                  <c:v>Muškarci</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Sheet4!$D$18:$F$18</c:f>
              <c:numCache>
                <c:formatCode>General</c:formatCode>
                <c:ptCount val="3"/>
                <c:pt idx="0">
                  <c:v>2022</c:v>
                </c:pt>
                <c:pt idx="1">
                  <c:v>2023</c:v>
                </c:pt>
                <c:pt idx="2">
                  <c:v>2024</c:v>
                </c:pt>
              </c:numCache>
            </c:numRef>
          </c:cat>
          <c:val>
            <c:numRef>
              <c:f>Sheet4!$D$20:$F$20</c:f>
              <c:numCache>
                <c:formatCode>0.00%</c:formatCode>
                <c:ptCount val="3"/>
                <c:pt idx="0">
                  <c:v>0.36749999999999999</c:v>
                </c:pt>
                <c:pt idx="1">
                  <c:v>0.35759999999999997</c:v>
                </c:pt>
                <c:pt idx="2">
                  <c:v>0.34860000000000002</c:v>
                </c:pt>
              </c:numCache>
            </c:numRef>
          </c:val>
          <c:extLst xmlns:c16r2="http://schemas.microsoft.com/office/drawing/2015/06/chart">
            <c:ext xmlns:c16="http://schemas.microsoft.com/office/drawing/2014/chart" uri="{C3380CC4-5D6E-409C-BE32-E72D297353CC}">
              <c16:uniqueId val="{00000001-EE79-43FD-987D-0F445E8096DD}"/>
            </c:ext>
          </c:extLst>
        </c:ser>
        <c:dLbls>
          <c:dLblPos val="inEnd"/>
          <c:showLegendKey val="0"/>
          <c:showVal val="1"/>
          <c:showCatName val="0"/>
          <c:showSerName val="0"/>
          <c:showPercent val="0"/>
          <c:showBubbleSize val="0"/>
        </c:dLbls>
        <c:gapWidth val="100"/>
        <c:overlap val="-24"/>
        <c:axId val="371536264"/>
        <c:axId val="427274344"/>
        <c:extLst xmlns:c16r2="http://schemas.microsoft.com/office/drawing/2015/06/chart"/>
      </c:barChart>
      <c:catAx>
        <c:axId val="37153626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7274344"/>
        <c:crosses val="autoZero"/>
        <c:auto val="1"/>
        <c:lblAlgn val="ctr"/>
        <c:lblOffset val="100"/>
        <c:noMultiLvlLbl val="0"/>
      </c:catAx>
      <c:valAx>
        <c:axId val="4272743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3715362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r>
              <a:rPr lang="bs-Latn-BA"/>
              <a:t>Nezaposleni po starosnoj dobi u 2023. godini</a:t>
            </a:r>
            <a:endParaRPr lang="en-US"/>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Sheet5!$B$15</c:f>
              <c:strCache>
                <c:ptCount val="1"/>
                <c:pt idx="0">
                  <c:v>Žene</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Sheet5!$C$14:$L$14</c:f>
              <c:strCache>
                <c:ptCount val="10"/>
                <c:pt idx="0">
                  <c:v>15 - 19 </c:v>
                </c:pt>
                <c:pt idx="1">
                  <c:v>20 - 24 </c:v>
                </c:pt>
                <c:pt idx="2">
                  <c:v>25 - 29 </c:v>
                </c:pt>
                <c:pt idx="3">
                  <c:v>30 - 34 </c:v>
                </c:pt>
                <c:pt idx="4">
                  <c:v>35 - 39 </c:v>
                </c:pt>
                <c:pt idx="5">
                  <c:v>40 - 44 </c:v>
                </c:pt>
                <c:pt idx="6">
                  <c:v>45 - 49 </c:v>
                </c:pt>
                <c:pt idx="7">
                  <c:v>50 - 54 </c:v>
                </c:pt>
                <c:pt idx="8">
                  <c:v>55 - 59 </c:v>
                </c:pt>
                <c:pt idx="9">
                  <c:v>60 i više </c:v>
                </c:pt>
              </c:strCache>
            </c:strRef>
          </c:cat>
          <c:val>
            <c:numRef>
              <c:f>Sheet5!$C$15:$L$15</c:f>
              <c:numCache>
                <c:formatCode>0.00%</c:formatCode>
                <c:ptCount val="10"/>
                <c:pt idx="0">
                  <c:v>0.51380000000000003</c:v>
                </c:pt>
                <c:pt idx="1">
                  <c:v>0.63049999999999995</c:v>
                </c:pt>
                <c:pt idx="2">
                  <c:v>0.71489999999999998</c:v>
                </c:pt>
                <c:pt idx="3">
                  <c:v>0.74019999999999997</c:v>
                </c:pt>
                <c:pt idx="4">
                  <c:v>0.71689999999999998</c:v>
                </c:pt>
                <c:pt idx="5">
                  <c:v>0.70699999999999996</c:v>
                </c:pt>
                <c:pt idx="6">
                  <c:v>0.69</c:v>
                </c:pt>
                <c:pt idx="7">
                  <c:v>0.62180000000000002</c:v>
                </c:pt>
                <c:pt idx="8">
                  <c:v>0.56459999999999999</c:v>
                </c:pt>
                <c:pt idx="9">
                  <c:v>0.46860000000000002</c:v>
                </c:pt>
              </c:numCache>
            </c:numRef>
          </c:val>
          <c:extLst xmlns:c16r2="http://schemas.microsoft.com/office/drawing/2015/06/chart">
            <c:ext xmlns:c16="http://schemas.microsoft.com/office/drawing/2014/chart" uri="{C3380CC4-5D6E-409C-BE32-E72D297353CC}">
              <c16:uniqueId val="{00000000-E013-4E81-998E-277FC28AAC2A}"/>
            </c:ext>
          </c:extLst>
        </c:ser>
        <c:ser>
          <c:idx val="1"/>
          <c:order val="1"/>
          <c:tx>
            <c:strRef>
              <c:f>Sheet5!$B$16</c:f>
              <c:strCache>
                <c:ptCount val="1"/>
                <c:pt idx="0">
                  <c:v>Muškarci</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Sheet5!$C$14:$L$14</c:f>
              <c:strCache>
                <c:ptCount val="10"/>
                <c:pt idx="0">
                  <c:v>15 - 19 </c:v>
                </c:pt>
                <c:pt idx="1">
                  <c:v>20 - 24 </c:v>
                </c:pt>
                <c:pt idx="2">
                  <c:v>25 - 29 </c:v>
                </c:pt>
                <c:pt idx="3">
                  <c:v>30 - 34 </c:v>
                </c:pt>
                <c:pt idx="4">
                  <c:v>35 - 39 </c:v>
                </c:pt>
                <c:pt idx="5">
                  <c:v>40 - 44 </c:v>
                </c:pt>
                <c:pt idx="6">
                  <c:v>45 - 49 </c:v>
                </c:pt>
                <c:pt idx="7">
                  <c:v>50 - 54 </c:v>
                </c:pt>
                <c:pt idx="8">
                  <c:v>55 - 59 </c:v>
                </c:pt>
                <c:pt idx="9">
                  <c:v>60 i više </c:v>
                </c:pt>
              </c:strCache>
            </c:strRef>
          </c:cat>
          <c:val>
            <c:numRef>
              <c:f>Sheet5!$C$16:$L$16</c:f>
              <c:numCache>
                <c:formatCode>0.00%</c:formatCode>
                <c:ptCount val="10"/>
                <c:pt idx="0">
                  <c:v>0.48620000000000002</c:v>
                </c:pt>
                <c:pt idx="1">
                  <c:v>0.36950000000000005</c:v>
                </c:pt>
                <c:pt idx="2">
                  <c:v>0.28510000000000002</c:v>
                </c:pt>
                <c:pt idx="3">
                  <c:v>0.25980000000000003</c:v>
                </c:pt>
                <c:pt idx="4">
                  <c:v>0.28310000000000002</c:v>
                </c:pt>
                <c:pt idx="5">
                  <c:v>0.29300000000000004</c:v>
                </c:pt>
                <c:pt idx="6">
                  <c:v>0.31000000000000005</c:v>
                </c:pt>
                <c:pt idx="7">
                  <c:v>0.37819999999999998</c:v>
                </c:pt>
                <c:pt idx="8">
                  <c:v>0.43540000000000001</c:v>
                </c:pt>
                <c:pt idx="9">
                  <c:v>0.53139999999999998</c:v>
                </c:pt>
              </c:numCache>
            </c:numRef>
          </c:val>
          <c:extLst xmlns:c16r2="http://schemas.microsoft.com/office/drawing/2015/06/chart">
            <c:ext xmlns:c16="http://schemas.microsoft.com/office/drawing/2014/chart" uri="{C3380CC4-5D6E-409C-BE32-E72D297353CC}">
              <c16:uniqueId val="{00000001-E013-4E81-998E-277FC28AAC2A}"/>
            </c:ext>
          </c:extLst>
        </c:ser>
        <c:dLbls>
          <c:dLblPos val="inEnd"/>
          <c:showLegendKey val="0"/>
          <c:showVal val="1"/>
          <c:showCatName val="0"/>
          <c:showSerName val="0"/>
          <c:showPercent val="0"/>
          <c:showBubbleSize val="0"/>
        </c:dLbls>
        <c:gapWidth val="100"/>
        <c:overlap val="-24"/>
        <c:axId val="427276696"/>
        <c:axId val="427275128"/>
        <c:extLst xmlns:c16r2="http://schemas.microsoft.com/office/drawing/2015/06/chart"/>
      </c:barChart>
      <c:catAx>
        <c:axId val="427276696"/>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7275128"/>
        <c:crosses val="autoZero"/>
        <c:auto val="1"/>
        <c:lblAlgn val="ctr"/>
        <c:lblOffset val="100"/>
        <c:noMultiLvlLbl val="0"/>
      </c:catAx>
      <c:valAx>
        <c:axId val="427275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7276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baseline="0">
                <a:solidFill>
                  <a:schemeClr val="tx1"/>
                </a:solidFill>
                <a:latin typeface="+mj-lt"/>
                <a:ea typeface="+mn-ea"/>
                <a:cs typeface="+mn-cs"/>
              </a:defRPr>
            </a:pPr>
            <a:r>
              <a:rPr lang="bs-Latn-BA" sz="1100" b="0" i="0" baseline="0">
                <a:effectLst/>
              </a:rPr>
              <a:t>Nezaposleni po starosnoj dobi u 2024. godini</a:t>
            </a:r>
            <a:endParaRPr lang="en-US" sz="1100">
              <a:effectLst/>
            </a:endParaRPr>
          </a:p>
        </c:rich>
      </c:tx>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Sheet5!$B$25</c:f>
              <c:strCache>
                <c:ptCount val="1"/>
                <c:pt idx="0">
                  <c:v>Žene</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Sheet5!$C$24:$L$24</c:f>
              <c:strCache>
                <c:ptCount val="10"/>
                <c:pt idx="0">
                  <c:v>15 - 19 </c:v>
                </c:pt>
                <c:pt idx="1">
                  <c:v>20 - 24 </c:v>
                </c:pt>
                <c:pt idx="2">
                  <c:v>25 - 29 </c:v>
                </c:pt>
                <c:pt idx="3">
                  <c:v>30 - 34 </c:v>
                </c:pt>
                <c:pt idx="4">
                  <c:v>35 - 39 </c:v>
                </c:pt>
                <c:pt idx="5">
                  <c:v>40 - 44 </c:v>
                </c:pt>
                <c:pt idx="6">
                  <c:v>45 - 49 </c:v>
                </c:pt>
                <c:pt idx="7">
                  <c:v>50 - 54 </c:v>
                </c:pt>
                <c:pt idx="8">
                  <c:v>55 - 59 </c:v>
                </c:pt>
                <c:pt idx="9">
                  <c:v>60 i više </c:v>
                </c:pt>
              </c:strCache>
            </c:strRef>
          </c:cat>
          <c:val>
            <c:numRef>
              <c:f>Sheet5!$C$25:$L$25</c:f>
              <c:numCache>
                <c:formatCode>0.00%</c:formatCode>
                <c:ptCount val="10"/>
                <c:pt idx="0">
                  <c:v>0.51619999999999999</c:v>
                </c:pt>
                <c:pt idx="1">
                  <c:v>0.6482</c:v>
                </c:pt>
                <c:pt idx="2">
                  <c:v>0.72389999999999999</c:v>
                </c:pt>
                <c:pt idx="3">
                  <c:v>0.75190000000000001</c:v>
                </c:pt>
                <c:pt idx="4">
                  <c:v>0.72750000000000004</c:v>
                </c:pt>
                <c:pt idx="5">
                  <c:v>0.71599999999999997</c:v>
                </c:pt>
                <c:pt idx="6">
                  <c:v>0.70320000000000005</c:v>
                </c:pt>
                <c:pt idx="7">
                  <c:v>0.63280000000000003</c:v>
                </c:pt>
                <c:pt idx="8">
                  <c:v>0.57250000000000001</c:v>
                </c:pt>
                <c:pt idx="9">
                  <c:v>0.50060000000000004</c:v>
                </c:pt>
              </c:numCache>
            </c:numRef>
          </c:val>
          <c:extLst xmlns:c16r2="http://schemas.microsoft.com/office/drawing/2015/06/chart">
            <c:ext xmlns:c16="http://schemas.microsoft.com/office/drawing/2014/chart" uri="{C3380CC4-5D6E-409C-BE32-E72D297353CC}">
              <c16:uniqueId val="{00000000-4958-4DCF-AD47-CB6A2CEF53AF}"/>
            </c:ext>
          </c:extLst>
        </c:ser>
        <c:ser>
          <c:idx val="1"/>
          <c:order val="1"/>
          <c:tx>
            <c:strRef>
              <c:f>Sheet5!$B$26</c:f>
              <c:strCache>
                <c:ptCount val="1"/>
                <c:pt idx="0">
                  <c:v>Muškarci</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Sheet5!$C$24:$L$24</c:f>
              <c:strCache>
                <c:ptCount val="10"/>
                <c:pt idx="0">
                  <c:v>15 - 19 </c:v>
                </c:pt>
                <c:pt idx="1">
                  <c:v>20 - 24 </c:v>
                </c:pt>
                <c:pt idx="2">
                  <c:v>25 - 29 </c:v>
                </c:pt>
                <c:pt idx="3">
                  <c:v>30 - 34 </c:v>
                </c:pt>
                <c:pt idx="4">
                  <c:v>35 - 39 </c:v>
                </c:pt>
                <c:pt idx="5">
                  <c:v>40 - 44 </c:v>
                </c:pt>
                <c:pt idx="6">
                  <c:v>45 - 49 </c:v>
                </c:pt>
                <c:pt idx="7">
                  <c:v>50 - 54 </c:v>
                </c:pt>
                <c:pt idx="8">
                  <c:v>55 - 59 </c:v>
                </c:pt>
                <c:pt idx="9">
                  <c:v>60 i više </c:v>
                </c:pt>
              </c:strCache>
            </c:strRef>
          </c:cat>
          <c:val>
            <c:numRef>
              <c:f>Sheet5!$C$26:$L$26</c:f>
              <c:numCache>
                <c:formatCode>0.00%</c:formatCode>
                <c:ptCount val="10"/>
                <c:pt idx="0">
                  <c:v>0.48380000000000001</c:v>
                </c:pt>
                <c:pt idx="1">
                  <c:v>0.3518</c:v>
                </c:pt>
                <c:pt idx="2">
                  <c:v>0.27610000000000001</c:v>
                </c:pt>
                <c:pt idx="3">
                  <c:v>0.24809999999999999</c:v>
                </c:pt>
                <c:pt idx="4">
                  <c:v>0.27249999999999996</c:v>
                </c:pt>
                <c:pt idx="5">
                  <c:v>0.28400000000000003</c:v>
                </c:pt>
                <c:pt idx="6">
                  <c:v>0.29679999999999995</c:v>
                </c:pt>
                <c:pt idx="7">
                  <c:v>0.36719999999999997</c:v>
                </c:pt>
                <c:pt idx="8">
                  <c:v>0.42749999999999999</c:v>
                </c:pt>
                <c:pt idx="9">
                  <c:v>0.49939999999999996</c:v>
                </c:pt>
              </c:numCache>
            </c:numRef>
          </c:val>
          <c:extLst xmlns:c16r2="http://schemas.microsoft.com/office/drawing/2015/06/chart">
            <c:ext xmlns:c16="http://schemas.microsoft.com/office/drawing/2014/chart" uri="{C3380CC4-5D6E-409C-BE32-E72D297353CC}">
              <c16:uniqueId val="{00000001-4958-4DCF-AD47-CB6A2CEF53AF}"/>
            </c:ext>
          </c:extLst>
        </c:ser>
        <c:dLbls>
          <c:dLblPos val="inEnd"/>
          <c:showLegendKey val="0"/>
          <c:showVal val="1"/>
          <c:showCatName val="0"/>
          <c:showSerName val="0"/>
          <c:showPercent val="0"/>
          <c:showBubbleSize val="0"/>
        </c:dLbls>
        <c:gapWidth val="100"/>
        <c:overlap val="-24"/>
        <c:axId val="427062144"/>
        <c:axId val="427063712"/>
        <c:extLst xmlns:c16r2="http://schemas.microsoft.com/office/drawing/2015/06/chart"/>
      </c:barChart>
      <c:catAx>
        <c:axId val="42706214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7063712"/>
        <c:crosses val="autoZero"/>
        <c:auto val="1"/>
        <c:lblAlgn val="ctr"/>
        <c:lblOffset val="100"/>
        <c:noMultiLvlLbl val="0"/>
      </c:catAx>
      <c:valAx>
        <c:axId val="4270637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27062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baseline="0">
                <a:solidFill>
                  <a:schemeClr val="tx1"/>
                </a:solidFill>
                <a:latin typeface="+mj-lt"/>
                <a:ea typeface="+mn-ea"/>
                <a:cs typeface="+mn-cs"/>
              </a:defRPr>
            </a:pPr>
            <a:r>
              <a:rPr lang="bs-Latn-BA" sz="1100" b="0" i="0" baseline="0">
                <a:effectLst/>
              </a:rPr>
              <a:t>Nezaposlenost po općinama i spolu u 2023. godini</a:t>
            </a:r>
            <a:endParaRPr lang="en-US" sz="1100">
              <a:effectLst/>
            </a:endParaRPr>
          </a:p>
        </c:rich>
      </c:tx>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'nezaposleni po opcinama'!$H$25</c:f>
              <c:strCache>
                <c:ptCount val="1"/>
                <c:pt idx="0">
                  <c:v>Žene </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'nezaposleni po opcinama'!$G$26:$G$38</c:f>
              <c:strCache>
                <c:ptCount val="13"/>
                <c:pt idx="0">
                  <c:v>Banovići</c:v>
                </c:pt>
                <c:pt idx="1">
                  <c:v>Čelić</c:v>
                </c:pt>
                <c:pt idx="2">
                  <c:v>Doboj - Istok  </c:v>
                </c:pt>
                <c:pt idx="3">
                  <c:v>Gračanica</c:v>
                </c:pt>
                <c:pt idx="4">
                  <c:v>Gradačac</c:v>
                </c:pt>
                <c:pt idx="5">
                  <c:v>Kalesija</c:v>
                </c:pt>
                <c:pt idx="6">
                  <c:v>Kladanj</c:v>
                </c:pt>
                <c:pt idx="7">
                  <c:v>Lukavac</c:v>
                </c:pt>
                <c:pt idx="8">
                  <c:v>Sapna</c:v>
                </c:pt>
                <c:pt idx="9">
                  <c:v>Srebrenik</c:v>
                </c:pt>
                <c:pt idx="10">
                  <c:v> Teočak</c:v>
                </c:pt>
                <c:pt idx="11">
                  <c:v>Tuzla</c:v>
                </c:pt>
                <c:pt idx="12">
                  <c:v>Živinice</c:v>
                </c:pt>
              </c:strCache>
            </c:strRef>
          </c:cat>
          <c:val>
            <c:numRef>
              <c:f>'nezaposleni po opcinama'!$H$26:$H$38</c:f>
              <c:numCache>
                <c:formatCode>0.00%</c:formatCode>
                <c:ptCount val="13"/>
                <c:pt idx="0">
                  <c:v>0.77210000000000001</c:v>
                </c:pt>
                <c:pt idx="1">
                  <c:v>0.58979999999999999</c:v>
                </c:pt>
                <c:pt idx="2">
                  <c:v>0.68330000000000002</c:v>
                </c:pt>
                <c:pt idx="3">
                  <c:v>0.65659999999999996</c:v>
                </c:pt>
                <c:pt idx="4">
                  <c:v>0.59460000000000002</c:v>
                </c:pt>
                <c:pt idx="5">
                  <c:v>0.6341</c:v>
                </c:pt>
                <c:pt idx="6">
                  <c:v>0.6583</c:v>
                </c:pt>
                <c:pt idx="7">
                  <c:v>0.66259999999999997</c:v>
                </c:pt>
                <c:pt idx="8">
                  <c:v>0.62539999999999996</c:v>
                </c:pt>
                <c:pt idx="9">
                  <c:v>0.65049999999999997</c:v>
                </c:pt>
                <c:pt idx="10">
                  <c:v>0.63360000000000005</c:v>
                </c:pt>
                <c:pt idx="11">
                  <c:v>0.60150000000000003</c:v>
                </c:pt>
                <c:pt idx="12">
                  <c:v>0.66120000000000001</c:v>
                </c:pt>
              </c:numCache>
            </c:numRef>
          </c:val>
          <c:extLst xmlns:c16r2="http://schemas.microsoft.com/office/drawing/2015/06/chart">
            <c:ext xmlns:c16="http://schemas.microsoft.com/office/drawing/2014/chart" uri="{C3380CC4-5D6E-409C-BE32-E72D297353CC}">
              <c16:uniqueId val="{00000000-6CF6-4A9C-88E4-74C023DEABA2}"/>
            </c:ext>
          </c:extLst>
        </c:ser>
        <c:ser>
          <c:idx val="1"/>
          <c:order val="1"/>
          <c:tx>
            <c:strRef>
              <c:f>'nezaposleni po opcinama'!$I$25</c:f>
              <c:strCache>
                <c:ptCount val="1"/>
                <c:pt idx="0">
                  <c:v>Muškarci </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'nezaposleni po opcinama'!$G$26:$G$38</c:f>
              <c:strCache>
                <c:ptCount val="13"/>
                <c:pt idx="0">
                  <c:v>Banovići</c:v>
                </c:pt>
                <c:pt idx="1">
                  <c:v>Čelić</c:v>
                </c:pt>
                <c:pt idx="2">
                  <c:v>Doboj - Istok  </c:v>
                </c:pt>
                <c:pt idx="3">
                  <c:v>Gračanica</c:v>
                </c:pt>
                <c:pt idx="4">
                  <c:v>Gradačac</c:v>
                </c:pt>
                <c:pt idx="5">
                  <c:v>Kalesija</c:v>
                </c:pt>
                <c:pt idx="6">
                  <c:v>Kladanj</c:v>
                </c:pt>
                <c:pt idx="7">
                  <c:v>Lukavac</c:v>
                </c:pt>
                <c:pt idx="8">
                  <c:v>Sapna</c:v>
                </c:pt>
                <c:pt idx="9">
                  <c:v>Srebrenik</c:v>
                </c:pt>
                <c:pt idx="10">
                  <c:v> Teočak</c:v>
                </c:pt>
                <c:pt idx="11">
                  <c:v>Tuzla</c:v>
                </c:pt>
                <c:pt idx="12">
                  <c:v>Živinice</c:v>
                </c:pt>
              </c:strCache>
            </c:strRef>
          </c:cat>
          <c:val>
            <c:numRef>
              <c:f>'nezaposleni po opcinama'!$I$26:$I$38</c:f>
              <c:numCache>
                <c:formatCode>0.00%</c:formatCode>
                <c:ptCount val="13"/>
                <c:pt idx="0">
                  <c:v>0.22789999999999999</c:v>
                </c:pt>
                <c:pt idx="1">
                  <c:v>0.41020000000000001</c:v>
                </c:pt>
                <c:pt idx="2">
                  <c:v>0.31669999999999998</c:v>
                </c:pt>
                <c:pt idx="3">
                  <c:v>0.34340000000000004</c:v>
                </c:pt>
                <c:pt idx="4">
                  <c:v>0.40539999999999998</c:v>
                </c:pt>
                <c:pt idx="5">
                  <c:v>0.3659</c:v>
                </c:pt>
                <c:pt idx="6">
                  <c:v>0.3417</c:v>
                </c:pt>
                <c:pt idx="7">
                  <c:v>0.33740000000000003</c:v>
                </c:pt>
                <c:pt idx="8">
                  <c:v>0.37460000000000004</c:v>
                </c:pt>
                <c:pt idx="9">
                  <c:v>0.34950000000000003</c:v>
                </c:pt>
                <c:pt idx="10">
                  <c:v>0.36639999999999995</c:v>
                </c:pt>
                <c:pt idx="11">
                  <c:v>0.39849999999999997</c:v>
                </c:pt>
                <c:pt idx="12">
                  <c:v>0.33879999999999999</c:v>
                </c:pt>
              </c:numCache>
            </c:numRef>
          </c:val>
          <c:extLst xmlns:c16r2="http://schemas.microsoft.com/office/drawing/2015/06/chart">
            <c:ext xmlns:c16="http://schemas.microsoft.com/office/drawing/2014/chart" uri="{C3380CC4-5D6E-409C-BE32-E72D297353CC}">
              <c16:uniqueId val="{00000001-6CF6-4A9C-88E4-74C023DEABA2}"/>
            </c:ext>
          </c:extLst>
        </c:ser>
        <c:dLbls>
          <c:dLblPos val="inEnd"/>
          <c:showLegendKey val="0"/>
          <c:showVal val="1"/>
          <c:showCatName val="0"/>
          <c:showSerName val="0"/>
          <c:showPercent val="0"/>
          <c:showBubbleSize val="0"/>
        </c:dLbls>
        <c:gapWidth val="100"/>
        <c:overlap val="-24"/>
        <c:axId val="375806952"/>
        <c:axId val="375806560"/>
        <c:extLst xmlns:c16r2="http://schemas.microsoft.com/office/drawing/2015/06/chart"/>
      </c:barChart>
      <c:catAx>
        <c:axId val="375806952"/>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375806560"/>
        <c:crosses val="autoZero"/>
        <c:auto val="1"/>
        <c:lblAlgn val="ctr"/>
        <c:lblOffset val="100"/>
        <c:noMultiLvlLbl val="0"/>
      </c:catAx>
      <c:valAx>
        <c:axId val="3758065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375806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baseline="0">
                <a:solidFill>
                  <a:schemeClr val="tx1"/>
                </a:solidFill>
                <a:latin typeface="+mj-lt"/>
                <a:ea typeface="+mn-ea"/>
                <a:cs typeface="+mn-cs"/>
              </a:defRPr>
            </a:pPr>
            <a:r>
              <a:rPr lang="bs-Latn-BA" sz="1100" b="0" i="0" baseline="0">
                <a:effectLst/>
              </a:rPr>
              <a:t>Nezaposlenost po općinama i spolu u 2024. godini</a:t>
            </a:r>
            <a:endParaRPr lang="en-US" sz="1100">
              <a:effectLst/>
            </a:endParaRPr>
          </a:p>
        </c:rich>
      </c:tx>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'nezaposleni po opcinama'!$H$45</c:f>
              <c:strCache>
                <c:ptCount val="1"/>
                <c:pt idx="0">
                  <c:v>Žene </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'nezaposleni po opcinama'!$G$46:$G$58</c:f>
              <c:strCache>
                <c:ptCount val="13"/>
                <c:pt idx="0">
                  <c:v>Banovići</c:v>
                </c:pt>
                <c:pt idx="1">
                  <c:v>Čelić</c:v>
                </c:pt>
                <c:pt idx="2">
                  <c:v>Doboj - Istok  </c:v>
                </c:pt>
                <c:pt idx="3">
                  <c:v>Gračanica</c:v>
                </c:pt>
                <c:pt idx="4">
                  <c:v>Gradačac</c:v>
                </c:pt>
                <c:pt idx="5">
                  <c:v>Kalesija</c:v>
                </c:pt>
                <c:pt idx="6">
                  <c:v>Kladanj</c:v>
                </c:pt>
                <c:pt idx="7">
                  <c:v>Lukavac</c:v>
                </c:pt>
                <c:pt idx="8">
                  <c:v>Sapna</c:v>
                </c:pt>
                <c:pt idx="9">
                  <c:v>Srebrenik</c:v>
                </c:pt>
                <c:pt idx="10">
                  <c:v> Teočak</c:v>
                </c:pt>
                <c:pt idx="11">
                  <c:v>Tuzla</c:v>
                </c:pt>
                <c:pt idx="12">
                  <c:v>Živinice</c:v>
                </c:pt>
              </c:strCache>
            </c:strRef>
          </c:cat>
          <c:val>
            <c:numRef>
              <c:f>'nezaposleni po opcinama'!$H$46:$H$58</c:f>
              <c:numCache>
                <c:formatCode>0.00%</c:formatCode>
                <c:ptCount val="13"/>
                <c:pt idx="0">
                  <c:v>0.7671</c:v>
                </c:pt>
                <c:pt idx="1">
                  <c:v>0.57299999999999995</c:v>
                </c:pt>
                <c:pt idx="2">
                  <c:v>0.68669999999999998</c:v>
                </c:pt>
                <c:pt idx="3">
                  <c:v>0.6694</c:v>
                </c:pt>
                <c:pt idx="4">
                  <c:v>0.60680000000000001</c:v>
                </c:pt>
                <c:pt idx="5">
                  <c:v>0.6492</c:v>
                </c:pt>
                <c:pt idx="6">
                  <c:v>0.66139999999999999</c:v>
                </c:pt>
                <c:pt idx="7">
                  <c:v>0.6704</c:v>
                </c:pt>
                <c:pt idx="8">
                  <c:v>0.63200000000000001</c:v>
                </c:pt>
                <c:pt idx="9">
                  <c:v>0.65700000000000003</c:v>
                </c:pt>
                <c:pt idx="10">
                  <c:v>0.64990000000000003</c:v>
                </c:pt>
                <c:pt idx="11">
                  <c:v>0.60850000000000004</c:v>
                </c:pt>
                <c:pt idx="12">
                  <c:v>0.67689999999999995</c:v>
                </c:pt>
              </c:numCache>
            </c:numRef>
          </c:val>
          <c:extLst xmlns:c16r2="http://schemas.microsoft.com/office/drawing/2015/06/chart">
            <c:ext xmlns:c16="http://schemas.microsoft.com/office/drawing/2014/chart" uri="{C3380CC4-5D6E-409C-BE32-E72D297353CC}">
              <c16:uniqueId val="{00000000-FCC6-4D74-B80B-FDE837B0DEA5}"/>
            </c:ext>
          </c:extLst>
        </c:ser>
        <c:ser>
          <c:idx val="1"/>
          <c:order val="1"/>
          <c:tx>
            <c:strRef>
              <c:f>'nezaposleni po opcinama'!$I$45</c:f>
              <c:strCache>
                <c:ptCount val="1"/>
                <c:pt idx="0">
                  <c:v>Muškarci </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'nezaposleni po opcinama'!$G$46:$G$58</c:f>
              <c:strCache>
                <c:ptCount val="13"/>
                <c:pt idx="0">
                  <c:v>Banovići</c:v>
                </c:pt>
                <c:pt idx="1">
                  <c:v>Čelić</c:v>
                </c:pt>
                <c:pt idx="2">
                  <c:v>Doboj - Istok  </c:v>
                </c:pt>
                <c:pt idx="3">
                  <c:v>Gračanica</c:v>
                </c:pt>
                <c:pt idx="4">
                  <c:v>Gradačac</c:v>
                </c:pt>
                <c:pt idx="5">
                  <c:v>Kalesija</c:v>
                </c:pt>
                <c:pt idx="6">
                  <c:v>Kladanj</c:v>
                </c:pt>
                <c:pt idx="7">
                  <c:v>Lukavac</c:v>
                </c:pt>
                <c:pt idx="8">
                  <c:v>Sapna</c:v>
                </c:pt>
                <c:pt idx="9">
                  <c:v>Srebrenik</c:v>
                </c:pt>
                <c:pt idx="10">
                  <c:v> Teočak</c:v>
                </c:pt>
                <c:pt idx="11">
                  <c:v>Tuzla</c:v>
                </c:pt>
                <c:pt idx="12">
                  <c:v>Živinice</c:v>
                </c:pt>
              </c:strCache>
            </c:strRef>
          </c:cat>
          <c:val>
            <c:numRef>
              <c:f>'nezaposleni po opcinama'!$I$46:$I$58</c:f>
              <c:numCache>
                <c:formatCode>0.00%</c:formatCode>
                <c:ptCount val="13"/>
                <c:pt idx="0">
                  <c:v>0.2329</c:v>
                </c:pt>
                <c:pt idx="1">
                  <c:v>0.42700000000000005</c:v>
                </c:pt>
                <c:pt idx="2">
                  <c:v>0.31330000000000002</c:v>
                </c:pt>
                <c:pt idx="3">
                  <c:v>0.3306</c:v>
                </c:pt>
                <c:pt idx="4">
                  <c:v>0.39319999999999999</c:v>
                </c:pt>
                <c:pt idx="5">
                  <c:v>0.3508</c:v>
                </c:pt>
                <c:pt idx="6">
                  <c:v>0.33860000000000001</c:v>
                </c:pt>
                <c:pt idx="7">
                  <c:v>0.3296</c:v>
                </c:pt>
                <c:pt idx="8">
                  <c:v>0.36799999999999999</c:v>
                </c:pt>
                <c:pt idx="9">
                  <c:v>0.34299999999999997</c:v>
                </c:pt>
                <c:pt idx="10">
                  <c:v>0.35009999999999997</c:v>
                </c:pt>
                <c:pt idx="11">
                  <c:v>0.39149999999999996</c:v>
                </c:pt>
                <c:pt idx="12">
                  <c:v>0.32310000000000005</c:v>
                </c:pt>
              </c:numCache>
            </c:numRef>
          </c:val>
          <c:extLst xmlns:c16r2="http://schemas.microsoft.com/office/drawing/2015/06/chart">
            <c:ext xmlns:c16="http://schemas.microsoft.com/office/drawing/2014/chart" uri="{C3380CC4-5D6E-409C-BE32-E72D297353CC}">
              <c16:uniqueId val="{00000001-FCC6-4D74-B80B-FDE837B0DEA5}"/>
            </c:ext>
          </c:extLst>
        </c:ser>
        <c:dLbls>
          <c:dLblPos val="inEnd"/>
          <c:showLegendKey val="0"/>
          <c:showVal val="1"/>
          <c:showCatName val="0"/>
          <c:showSerName val="0"/>
          <c:showPercent val="0"/>
          <c:showBubbleSize val="0"/>
        </c:dLbls>
        <c:gapWidth val="100"/>
        <c:overlap val="-24"/>
        <c:axId val="375803816"/>
        <c:axId val="430504648"/>
        <c:extLst xmlns:c16r2="http://schemas.microsoft.com/office/drawing/2015/06/chart"/>
      </c:barChart>
      <c:catAx>
        <c:axId val="375803816"/>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30504648"/>
        <c:crosses val="autoZero"/>
        <c:auto val="1"/>
        <c:lblAlgn val="ctr"/>
        <c:lblOffset val="100"/>
        <c:noMultiLvlLbl val="0"/>
      </c:catAx>
      <c:valAx>
        <c:axId val="4305046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375803816"/>
        <c:crosses val="autoZero"/>
        <c:crossBetween val="between"/>
      </c:valAx>
      <c:spPr>
        <a:noFill/>
        <a:ln>
          <a:noFill/>
        </a:ln>
        <a:effectLst/>
      </c:spPr>
    </c:plotArea>
    <c:legend>
      <c:legendPos val="b"/>
      <c:layout>
        <c:manualLayout>
          <c:xMode val="edge"/>
          <c:yMode val="edge"/>
          <c:x val="0.39740432612312809"/>
          <c:y val="0.83858502761781639"/>
          <c:w val="0.20519134775374376"/>
          <c:h val="8.18129823324323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baseline="0">
                <a:solidFill>
                  <a:schemeClr val="tx1"/>
                </a:solidFill>
                <a:latin typeface="+mj-lt"/>
                <a:ea typeface="+mn-ea"/>
                <a:cs typeface="+mn-cs"/>
              </a:defRPr>
            </a:pPr>
            <a:r>
              <a:rPr lang="en-US" sz="1100" b="0" i="0" baseline="0">
                <a:effectLst/>
              </a:rPr>
              <a:t>Nezaposlene osobe po stepenu stručnog obrazovanja i spolu</a:t>
            </a:r>
            <a:r>
              <a:rPr lang="bs-Latn-BA" sz="1100" b="0" i="0" baseline="0">
                <a:effectLst/>
              </a:rPr>
              <a:t> u 2023. godini</a:t>
            </a:r>
            <a:endParaRPr lang="bs-Latn-BA" sz="1100">
              <a:effectLst/>
            </a:endParaRPr>
          </a:p>
        </c:rich>
      </c:tx>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j-lt"/>
              <a:ea typeface="+mn-ea"/>
              <a:cs typeface="+mn-cs"/>
            </a:defRPr>
          </a:pPr>
          <a:endParaRPr lang="sr-Latn-RS"/>
        </a:p>
      </c:txPr>
    </c:title>
    <c:autoTitleDeleted val="0"/>
    <c:plotArea>
      <c:layout/>
      <c:barChart>
        <c:barDir val="col"/>
        <c:grouping val="clustered"/>
        <c:varyColors val="0"/>
        <c:ser>
          <c:idx val="0"/>
          <c:order val="0"/>
          <c:tx>
            <c:strRef>
              <c:f>Sheet7!$B$24</c:f>
              <c:strCache>
                <c:ptCount val="1"/>
                <c:pt idx="0">
                  <c:v>Žene</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Sheet7!$C$23:$J$23</c:f>
              <c:strCache>
                <c:ptCount val="8"/>
                <c:pt idx="0">
                  <c:v>VSS</c:v>
                </c:pt>
                <c:pt idx="1">
                  <c:v>VŠS</c:v>
                </c:pt>
                <c:pt idx="2">
                  <c:v>SSS</c:v>
                </c:pt>
                <c:pt idx="3">
                  <c:v>NSS</c:v>
                </c:pt>
                <c:pt idx="4">
                  <c:v>VKV</c:v>
                </c:pt>
                <c:pt idx="5">
                  <c:v>KV</c:v>
                </c:pt>
                <c:pt idx="6">
                  <c:v>PKV</c:v>
                </c:pt>
                <c:pt idx="7">
                  <c:v>NKV</c:v>
                </c:pt>
              </c:strCache>
            </c:strRef>
          </c:cat>
          <c:val>
            <c:numRef>
              <c:f>Sheet7!$C$24:$J$24</c:f>
              <c:numCache>
                <c:formatCode>0.00%</c:formatCode>
                <c:ptCount val="8"/>
                <c:pt idx="0">
                  <c:v>0.72121212121212119</c:v>
                </c:pt>
                <c:pt idx="1">
                  <c:v>0.61083743842364535</c:v>
                </c:pt>
                <c:pt idx="2">
                  <c:v>0.7208415147265077</c:v>
                </c:pt>
                <c:pt idx="3">
                  <c:v>0.6428571428571429</c:v>
                </c:pt>
                <c:pt idx="4">
                  <c:v>0.19375000000000001</c:v>
                </c:pt>
                <c:pt idx="5">
                  <c:v>0.55299123904881098</c:v>
                </c:pt>
                <c:pt idx="6">
                  <c:v>0.52134146341463417</c:v>
                </c:pt>
                <c:pt idx="7">
                  <c:v>0.65256175663311988</c:v>
                </c:pt>
              </c:numCache>
            </c:numRef>
          </c:val>
          <c:extLst xmlns:c16r2="http://schemas.microsoft.com/office/drawing/2015/06/chart">
            <c:ext xmlns:c16="http://schemas.microsoft.com/office/drawing/2014/chart" uri="{C3380CC4-5D6E-409C-BE32-E72D297353CC}">
              <c16:uniqueId val="{00000000-1237-4533-BEA0-38324906D4FF}"/>
            </c:ext>
          </c:extLst>
        </c:ser>
        <c:ser>
          <c:idx val="1"/>
          <c:order val="1"/>
          <c:tx>
            <c:strRef>
              <c:f>Sheet7!$B$25</c:f>
              <c:strCache>
                <c:ptCount val="1"/>
                <c:pt idx="0">
                  <c:v>Muškarci</c:v>
                </c:pt>
              </c:strCache>
            </c:strRef>
          </c:tx>
          <c:spPr>
            <a:solidFill>
              <a:schemeClr val="accent4">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mj-lt"/>
                    <a:ea typeface="+mn-ea"/>
                    <a:cs typeface="+mn-cs"/>
                  </a:defRPr>
                </a:pPr>
                <a:endParaRPr lang="sr-Latn-R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Sheet7!$C$23:$J$23</c:f>
              <c:strCache>
                <c:ptCount val="8"/>
                <c:pt idx="0">
                  <c:v>VSS</c:v>
                </c:pt>
                <c:pt idx="1">
                  <c:v>VŠS</c:v>
                </c:pt>
                <c:pt idx="2">
                  <c:v>SSS</c:v>
                </c:pt>
                <c:pt idx="3">
                  <c:v>NSS</c:v>
                </c:pt>
                <c:pt idx="4">
                  <c:v>VKV</c:v>
                </c:pt>
                <c:pt idx="5">
                  <c:v>KV</c:v>
                </c:pt>
                <c:pt idx="6">
                  <c:v>PKV</c:v>
                </c:pt>
                <c:pt idx="7">
                  <c:v>NKV</c:v>
                </c:pt>
              </c:strCache>
            </c:strRef>
          </c:cat>
          <c:val>
            <c:numRef>
              <c:f>Sheet7!$C$25:$J$25</c:f>
              <c:numCache>
                <c:formatCode>0.00%</c:formatCode>
                <c:ptCount val="8"/>
                <c:pt idx="0">
                  <c:v>0.27878787878787881</c:v>
                </c:pt>
                <c:pt idx="1">
                  <c:v>0.38916256157635465</c:v>
                </c:pt>
                <c:pt idx="2">
                  <c:v>0.2791584852734923</c:v>
                </c:pt>
                <c:pt idx="3">
                  <c:v>0.3571428571428571</c:v>
                </c:pt>
                <c:pt idx="4">
                  <c:v>0.80625000000000002</c:v>
                </c:pt>
                <c:pt idx="5">
                  <c:v>0.44700876095118902</c:v>
                </c:pt>
                <c:pt idx="6">
                  <c:v>0.47865853658536583</c:v>
                </c:pt>
                <c:pt idx="7">
                  <c:v>0.34743824336688012</c:v>
                </c:pt>
              </c:numCache>
            </c:numRef>
          </c:val>
          <c:extLst xmlns:c16r2="http://schemas.microsoft.com/office/drawing/2015/06/chart">
            <c:ext xmlns:c16="http://schemas.microsoft.com/office/drawing/2014/chart" uri="{C3380CC4-5D6E-409C-BE32-E72D297353CC}">
              <c16:uniqueId val="{00000001-1237-4533-BEA0-38324906D4FF}"/>
            </c:ext>
          </c:extLst>
        </c:ser>
        <c:dLbls>
          <c:dLblPos val="inEnd"/>
          <c:showLegendKey val="0"/>
          <c:showVal val="1"/>
          <c:showCatName val="0"/>
          <c:showSerName val="0"/>
          <c:showPercent val="0"/>
          <c:showBubbleSize val="0"/>
        </c:dLbls>
        <c:gapWidth val="100"/>
        <c:overlap val="-24"/>
        <c:axId val="430503864"/>
        <c:axId val="430504256"/>
        <c:extLst xmlns:c16r2="http://schemas.microsoft.com/office/drawing/2015/06/chart"/>
      </c:barChart>
      <c:catAx>
        <c:axId val="43050386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30504256"/>
        <c:crosses val="autoZero"/>
        <c:auto val="1"/>
        <c:lblAlgn val="ctr"/>
        <c:lblOffset val="100"/>
        <c:noMultiLvlLbl val="0"/>
      </c:catAx>
      <c:valAx>
        <c:axId val="4305042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sr-Latn-RS"/>
          </a:p>
        </c:txPr>
        <c:crossAx val="430503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j-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j-lt"/>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7A69D0-7FD4-465A-8B13-E1FF59B86F7E}" type="doc">
      <dgm:prSet loTypeId="urn:microsoft.com/office/officeart/2005/8/layout/arrow1" loCatId="relationship" qsTypeId="urn:microsoft.com/office/officeart/2005/8/quickstyle/3d2" qsCatId="3D" csTypeId="urn:microsoft.com/office/officeart/2005/8/colors/accent5_3" csCatId="accent5" phldr="1"/>
      <dgm:spPr/>
      <dgm:t>
        <a:bodyPr/>
        <a:lstStyle/>
        <a:p>
          <a:endParaRPr lang="bs-Latn-BA"/>
        </a:p>
      </dgm:t>
    </dgm:pt>
    <dgm:pt modelId="{48EC4E23-A394-4A31-957E-A64AEDE3234E}">
      <dgm:prSet phldrT="[Text]" custT="1"/>
      <dgm:spPr>
        <a:solidFill>
          <a:schemeClr val="accent4">
            <a:lumMod val="40000"/>
            <a:lumOff val="60000"/>
          </a:schemeClr>
        </a:solidFill>
      </dgm:spPr>
      <dgm:t>
        <a:bodyPr lIns="0" rIns="0"/>
        <a:lstStyle/>
        <a:p>
          <a:pPr algn="ctr"/>
          <a:r>
            <a:rPr lang="bs-Latn-BA" sz="1200" b="0" dirty="0">
              <a:ln/>
              <a:solidFill>
                <a:sysClr val="windowText" lastClr="000000"/>
              </a:solidFill>
              <a:latin typeface="+mj-lt"/>
            </a:rPr>
            <a:t>OTKLANJANJE DISKRIMINACIJE</a:t>
          </a:r>
        </a:p>
      </dgm:t>
    </dgm:pt>
    <dgm:pt modelId="{CB958D8C-B139-44EA-8F0C-23E4EFC1AE10}" type="parTrans" cxnId="{ABBA30AF-B05F-4A0F-9F2C-BAE4578CF1B6}">
      <dgm:prSet/>
      <dgm:spPr/>
      <dgm:t>
        <a:bodyPr/>
        <a:lstStyle/>
        <a:p>
          <a:pPr algn="ctr"/>
          <a:endParaRPr lang="bs-Latn-BA" b="0">
            <a:latin typeface="+mj-lt"/>
          </a:endParaRPr>
        </a:p>
      </dgm:t>
    </dgm:pt>
    <dgm:pt modelId="{82B98E78-B194-4D8E-AE63-7E44A61E24B3}" type="sibTrans" cxnId="{ABBA30AF-B05F-4A0F-9F2C-BAE4578CF1B6}">
      <dgm:prSet/>
      <dgm:spPr/>
      <dgm:t>
        <a:bodyPr/>
        <a:lstStyle/>
        <a:p>
          <a:pPr algn="ctr"/>
          <a:endParaRPr lang="bs-Latn-BA" b="0">
            <a:latin typeface="+mj-lt"/>
          </a:endParaRPr>
        </a:p>
      </dgm:t>
    </dgm:pt>
    <dgm:pt modelId="{580DF81A-2A13-4594-84C5-91527347F485}">
      <dgm:prSet phldrT="[Text]" custT="1"/>
      <dgm:spPr/>
      <dgm:t>
        <a:bodyPr lIns="0" rIns="0"/>
        <a:lstStyle/>
        <a:p>
          <a:pPr algn="ctr"/>
          <a:r>
            <a:rPr lang="bs-Latn-BA" sz="1200" b="0" dirty="0">
              <a:ln w="12700"/>
              <a:latin typeface="+mj-lt"/>
            </a:rPr>
            <a:t>OSIGURAVANJE RAVNOPRAVNOSTI</a:t>
          </a:r>
        </a:p>
      </dgm:t>
    </dgm:pt>
    <dgm:pt modelId="{F37DE8C1-E4DF-4E18-98A9-166C08C7A49C}" type="parTrans" cxnId="{09709E94-7A28-4C75-81FC-C31D5023B75E}">
      <dgm:prSet/>
      <dgm:spPr/>
      <dgm:t>
        <a:bodyPr/>
        <a:lstStyle/>
        <a:p>
          <a:pPr algn="ctr"/>
          <a:endParaRPr lang="bs-Latn-BA" b="0">
            <a:latin typeface="+mj-lt"/>
          </a:endParaRPr>
        </a:p>
      </dgm:t>
    </dgm:pt>
    <dgm:pt modelId="{B5F7206F-B7BA-4583-ACDD-F02BC9974CD2}" type="sibTrans" cxnId="{09709E94-7A28-4C75-81FC-C31D5023B75E}">
      <dgm:prSet/>
      <dgm:spPr/>
      <dgm:t>
        <a:bodyPr/>
        <a:lstStyle/>
        <a:p>
          <a:pPr algn="ctr"/>
          <a:endParaRPr lang="bs-Latn-BA" b="0">
            <a:latin typeface="+mj-lt"/>
          </a:endParaRPr>
        </a:p>
      </dgm:t>
    </dgm:pt>
    <dgm:pt modelId="{F476A8A2-9FD0-4543-80F7-A7B6BD15ED61}" type="pres">
      <dgm:prSet presAssocID="{337A69D0-7FD4-465A-8B13-E1FF59B86F7E}" presName="cycle" presStyleCnt="0">
        <dgm:presLayoutVars>
          <dgm:dir/>
          <dgm:resizeHandles val="exact"/>
        </dgm:presLayoutVars>
      </dgm:prSet>
      <dgm:spPr/>
      <dgm:t>
        <a:bodyPr/>
        <a:lstStyle/>
        <a:p>
          <a:endParaRPr lang="en-US"/>
        </a:p>
      </dgm:t>
    </dgm:pt>
    <dgm:pt modelId="{BE5068F0-AD1D-418A-ABE8-0331CCB16470}" type="pres">
      <dgm:prSet presAssocID="{48EC4E23-A394-4A31-957E-A64AEDE3234E}" presName="arrow" presStyleLbl="node1" presStyleIdx="0" presStyleCnt="2" custScaleY="100026" custRadScaleRad="59175">
        <dgm:presLayoutVars>
          <dgm:bulletEnabled val="1"/>
        </dgm:presLayoutVars>
      </dgm:prSet>
      <dgm:spPr/>
      <dgm:t>
        <a:bodyPr/>
        <a:lstStyle/>
        <a:p>
          <a:endParaRPr lang="en-US"/>
        </a:p>
      </dgm:t>
    </dgm:pt>
    <dgm:pt modelId="{CF08C370-59C9-4B66-8CB0-37D2F678BAFF}" type="pres">
      <dgm:prSet presAssocID="{580DF81A-2A13-4594-84C5-91527347F485}" presName="arrow" presStyleLbl="node1" presStyleIdx="1" presStyleCnt="2" custScaleY="100026" custRadScaleRad="57450" custRadScaleInc="-7">
        <dgm:presLayoutVars>
          <dgm:bulletEnabled val="1"/>
        </dgm:presLayoutVars>
      </dgm:prSet>
      <dgm:spPr/>
      <dgm:t>
        <a:bodyPr/>
        <a:lstStyle/>
        <a:p>
          <a:endParaRPr lang="en-US"/>
        </a:p>
      </dgm:t>
    </dgm:pt>
  </dgm:ptLst>
  <dgm:cxnLst>
    <dgm:cxn modelId="{ABBA30AF-B05F-4A0F-9F2C-BAE4578CF1B6}" srcId="{337A69D0-7FD4-465A-8B13-E1FF59B86F7E}" destId="{48EC4E23-A394-4A31-957E-A64AEDE3234E}" srcOrd="0" destOrd="0" parTransId="{CB958D8C-B139-44EA-8F0C-23E4EFC1AE10}" sibTransId="{82B98E78-B194-4D8E-AE63-7E44A61E24B3}"/>
    <dgm:cxn modelId="{79A9F9E1-9129-4042-BD44-1E81A7C79B32}" type="presOf" srcId="{337A69D0-7FD4-465A-8B13-E1FF59B86F7E}" destId="{F476A8A2-9FD0-4543-80F7-A7B6BD15ED61}" srcOrd="0" destOrd="0" presId="urn:microsoft.com/office/officeart/2005/8/layout/arrow1"/>
    <dgm:cxn modelId="{FE0EDA3B-9764-47F7-9B63-FA7E6B623AE4}" type="presOf" srcId="{580DF81A-2A13-4594-84C5-91527347F485}" destId="{CF08C370-59C9-4B66-8CB0-37D2F678BAFF}" srcOrd="0" destOrd="0" presId="urn:microsoft.com/office/officeart/2005/8/layout/arrow1"/>
    <dgm:cxn modelId="{273DA08C-EE94-4A22-A15B-2E6285571F72}" type="presOf" srcId="{48EC4E23-A394-4A31-957E-A64AEDE3234E}" destId="{BE5068F0-AD1D-418A-ABE8-0331CCB16470}" srcOrd="0" destOrd="0" presId="urn:microsoft.com/office/officeart/2005/8/layout/arrow1"/>
    <dgm:cxn modelId="{09709E94-7A28-4C75-81FC-C31D5023B75E}" srcId="{337A69D0-7FD4-465A-8B13-E1FF59B86F7E}" destId="{580DF81A-2A13-4594-84C5-91527347F485}" srcOrd="1" destOrd="0" parTransId="{F37DE8C1-E4DF-4E18-98A9-166C08C7A49C}" sibTransId="{B5F7206F-B7BA-4583-ACDD-F02BC9974CD2}"/>
    <dgm:cxn modelId="{22A1B0C5-5D8D-4275-96A5-848BE8EE20FC}" type="presParOf" srcId="{F476A8A2-9FD0-4543-80F7-A7B6BD15ED61}" destId="{BE5068F0-AD1D-418A-ABE8-0331CCB16470}" srcOrd="0" destOrd="0" presId="urn:microsoft.com/office/officeart/2005/8/layout/arrow1"/>
    <dgm:cxn modelId="{EE192F49-9FA0-4FC9-8EA4-EF6B56491946}" type="presParOf" srcId="{F476A8A2-9FD0-4543-80F7-A7B6BD15ED61}" destId="{CF08C370-59C9-4B66-8CB0-37D2F678BAFF}" srcOrd="1" destOrd="0" presId="urn:microsoft.com/office/officeart/2005/8/layout/arrow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9394A11-F64A-46BD-BD34-F2C7E63F1E50}" type="doc">
      <dgm:prSet loTypeId="urn:microsoft.com/office/officeart/2005/8/layout/hProcess9" loCatId="process" qsTypeId="urn:microsoft.com/office/officeart/2005/8/quickstyle/3d1" qsCatId="3D" csTypeId="urn:microsoft.com/office/officeart/2005/8/colors/accent5_3" csCatId="accent5" phldr="1"/>
      <dgm:spPr/>
    </dgm:pt>
    <dgm:pt modelId="{897B9A1F-6F12-4EC0-B5D6-63A1606A3870}">
      <dgm:prSet phldrT="[Text]" custT="1"/>
      <dgm:spPr>
        <a:xfrm>
          <a:off x="0" y="887658"/>
          <a:ext cx="1436298" cy="1183544"/>
        </a:xfrm>
      </dgm:spPr>
      <dgm:t>
        <a:bodyPr/>
        <a:lstStyle/>
        <a:p>
          <a:r>
            <a:rPr lang="bs-Latn-BA" sz="1200" b="0">
              <a:ln/>
              <a:latin typeface="+mj-lt"/>
              <a:ea typeface="+mn-ea"/>
              <a:cs typeface="+mn-cs"/>
            </a:rPr>
            <a:t>Analiza</a:t>
          </a:r>
          <a:endParaRPr lang="en-GB" sz="1200" b="0">
            <a:ln/>
            <a:latin typeface="+mj-lt"/>
            <a:ea typeface="+mn-ea"/>
            <a:cs typeface="+mn-cs"/>
          </a:endParaRPr>
        </a:p>
      </dgm:t>
    </dgm:pt>
    <dgm:pt modelId="{71F5B245-68E6-465C-9870-F62F9FC456EA}" type="parTrans" cxnId="{538673DA-1FA0-4C5A-867C-7CE4C7AB3D98}">
      <dgm:prSet/>
      <dgm:spPr/>
      <dgm:t>
        <a:bodyPr/>
        <a:lstStyle/>
        <a:p>
          <a:endParaRPr lang="en-GB" sz="1200" b="0"/>
        </a:p>
      </dgm:t>
    </dgm:pt>
    <dgm:pt modelId="{3D2799EE-44F4-4F24-9995-FC6641F4ACED}" type="sibTrans" cxnId="{538673DA-1FA0-4C5A-867C-7CE4C7AB3D98}">
      <dgm:prSet/>
      <dgm:spPr/>
      <dgm:t>
        <a:bodyPr/>
        <a:lstStyle/>
        <a:p>
          <a:endParaRPr lang="en-GB" sz="1200" b="0"/>
        </a:p>
      </dgm:t>
    </dgm:pt>
    <dgm:pt modelId="{212DB30D-889C-4099-9A0F-4FB4C0330421}">
      <dgm:prSet phldrT="[Text]" custT="1"/>
      <dgm:spPr>
        <a:xfrm>
          <a:off x="1675680" y="887658"/>
          <a:ext cx="1436298" cy="1183544"/>
        </a:xfrm>
      </dgm:spPr>
      <dgm:t>
        <a:bodyPr/>
        <a:lstStyle/>
        <a:p>
          <a:r>
            <a:rPr lang="bs-Latn-BA" sz="1200" b="0">
              <a:ln/>
              <a:latin typeface="+mj-lt"/>
              <a:ea typeface="+mn-ea"/>
              <a:cs typeface="+mn-cs"/>
            </a:rPr>
            <a:t>Definiranje problema</a:t>
          </a:r>
          <a:endParaRPr lang="en-GB" sz="1200" b="0">
            <a:ln/>
            <a:latin typeface="+mj-lt"/>
            <a:ea typeface="+mn-ea"/>
            <a:cs typeface="+mn-cs"/>
          </a:endParaRPr>
        </a:p>
      </dgm:t>
    </dgm:pt>
    <dgm:pt modelId="{DC91D5FB-C4E1-4B17-8336-685C4F95C69F}" type="parTrans" cxnId="{96193FAD-E2BB-46C8-8A07-8D326EFC5CEC}">
      <dgm:prSet/>
      <dgm:spPr/>
      <dgm:t>
        <a:bodyPr/>
        <a:lstStyle/>
        <a:p>
          <a:endParaRPr lang="en-GB" sz="1200" b="0"/>
        </a:p>
      </dgm:t>
    </dgm:pt>
    <dgm:pt modelId="{D4705E68-9652-48FF-BD01-EC146D2F529C}" type="sibTrans" cxnId="{96193FAD-E2BB-46C8-8A07-8D326EFC5CEC}">
      <dgm:prSet/>
      <dgm:spPr/>
      <dgm:t>
        <a:bodyPr/>
        <a:lstStyle/>
        <a:p>
          <a:endParaRPr lang="en-GB" sz="1200" b="0"/>
        </a:p>
      </dgm:t>
    </dgm:pt>
    <dgm:pt modelId="{5ED461E7-8FE6-4BE9-8D1F-738DC9DE6B76}">
      <dgm:prSet phldrT="[Text]" custT="1"/>
      <dgm:spPr>
        <a:xfrm>
          <a:off x="3351361" y="887658"/>
          <a:ext cx="1436298" cy="1183544"/>
        </a:xfrm>
      </dgm:spPr>
      <dgm:t>
        <a:bodyPr/>
        <a:lstStyle/>
        <a:p>
          <a:r>
            <a:rPr lang="bs-Latn-BA" sz="1200" b="0">
              <a:ln/>
              <a:latin typeface="+mj-lt"/>
              <a:ea typeface="+mn-ea"/>
              <a:cs typeface="+mn-cs"/>
            </a:rPr>
            <a:t>Provođenje aktivnosti i mjera</a:t>
          </a:r>
          <a:endParaRPr lang="en-GB" sz="1200" b="0">
            <a:ln/>
            <a:latin typeface="+mj-lt"/>
            <a:ea typeface="+mn-ea"/>
            <a:cs typeface="+mn-cs"/>
          </a:endParaRPr>
        </a:p>
      </dgm:t>
    </dgm:pt>
    <dgm:pt modelId="{E3C906CA-514D-4270-A776-962327738E5A}" type="parTrans" cxnId="{B1E5889D-BA92-406A-92FF-0C22EBF0C22E}">
      <dgm:prSet/>
      <dgm:spPr/>
      <dgm:t>
        <a:bodyPr/>
        <a:lstStyle/>
        <a:p>
          <a:endParaRPr lang="en-GB" sz="1200" b="0"/>
        </a:p>
      </dgm:t>
    </dgm:pt>
    <dgm:pt modelId="{78F6DA69-B7F7-431F-9157-1D6E56784E90}" type="sibTrans" cxnId="{B1E5889D-BA92-406A-92FF-0C22EBF0C22E}">
      <dgm:prSet/>
      <dgm:spPr/>
      <dgm:t>
        <a:bodyPr/>
        <a:lstStyle/>
        <a:p>
          <a:endParaRPr lang="en-GB" sz="1200" b="0"/>
        </a:p>
      </dgm:t>
    </dgm:pt>
    <dgm:pt modelId="{A5383B3C-72AD-4CC9-87AB-B9483AF32069}" type="pres">
      <dgm:prSet presAssocID="{49394A11-F64A-46BD-BD34-F2C7E63F1E50}" presName="CompostProcess" presStyleCnt="0">
        <dgm:presLayoutVars>
          <dgm:dir/>
          <dgm:resizeHandles val="exact"/>
        </dgm:presLayoutVars>
      </dgm:prSet>
      <dgm:spPr/>
    </dgm:pt>
    <dgm:pt modelId="{A8734734-712D-4C1C-B62D-ABDDFB4A6761}" type="pres">
      <dgm:prSet presAssocID="{49394A11-F64A-46BD-BD34-F2C7E63F1E50}" presName="arrow" presStyleLbl="bgShp" presStyleIdx="0" presStyleCnt="1" custLinFactNeighborY="-298"/>
      <dgm:spPr>
        <a:xfrm>
          <a:off x="359074" y="0"/>
          <a:ext cx="4069511" cy="2958861"/>
        </a:xfrm>
        <a:prstGeom prst="rightArrow">
          <a:avLst/>
        </a:prstGeom>
        <a:solidFill>
          <a:schemeClr val="accent4">
            <a:lumMod val="40000"/>
            <a:lumOff val="60000"/>
          </a:schemeClr>
        </a:solidFill>
      </dgm:spPr>
    </dgm:pt>
    <dgm:pt modelId="{571AFB7A-015E-4BBC-95A0-CA3612B9D526}" type="pres">
      <dgm:prSet presAssocID="{49394A11-F64A-46BD-BD34-F2C7E63F1E50}" presName="linearProcess" presStyleCnt="0"/>
      <dgm:spPr/>
    </dgm:pt>
    <dgm:pt modelId="{EBF2800D-8073-478A-9060-129FBF8107A1}" type="pres">
      <dgm:prSet presAssocID="{897B9A1F-6F12-4EC0-B5D6-63A1606A3870}" presName="textNode" presStyleLbl="node1" presStyleIdx="0" presStyleCnt="3">
        <dgm:presLayoutVars>
          <dgm:bulletEnabled val="1"/>
        </dgm:presLayoutVars>
      </dgm:prSet>
      <dgm:spPr>
        <a:prstGeom prst="roundRect">
          <a:avLst/>
        </a:prstGeom>
      </dgm:spPr>
      <dgm:t>
        <a:bodyPr/>
        <a:lstStyle/>
        <a:p>
          <a:endParaRPr lang="en-US"/>
        </a:p>
      </dgm:t>
    </dgm:pt>
    <dgm:pt modelId="{E250DD8B-F8DD-455B-9379-536FD4F67E5B}" type="pres">
      <dgm:prSet presAssocID="{3D2799EE-44F4-4F24-9995-FC6641F4ACED}" presName="sibTrans" presStyleCnt="0"/>
      <dgm:spPr/>
    </dgm:pt>
    <dgm:pt modelId="{A5933813-5D13-4961-A2EB-2C1BC9D30296}" type="pres">
      <dgm:prSet presAssocID="{212DB30D-889C-4099-9A0F-4FB4C0330421}" presName="textNode" presStyleLbl="node1" presStyleIdx="1" presStyleCnt="3">
        <dgm:presLayoutVars>
          <dgm:bulletEnabled val="1"/>
        </dgm:presLayoutVars>
      </dgm:prSet>
      <dgm:spPr>
        <a:prstGeom prst="roundRect">
          <a:avLst/>
        </a:prstGeom>
      </dgm:spPr>
      <dgm:t>
        <a:bodyPr/>
        <a:lstStyle/>
        <a:p>
          <a:endParaRPr lang="en-US"/>
        </a:p>
      </dgm:t>
    </dgm:pt>
    <dgm:pt modelId="{871D54F9-3FB4-463F-8491-68AF73211811}" type="pres">
      <dgm:prSet presAssocID="{D4705E68-9652-48FF-BD01-EC146D2F529C}" presName="sibTrans" presStyleCnt="0"/>
      <dgm:spPr/>
    </dgm:pt>
    <dgm:pt modelId="{B7A321DF-50B4-478B-9756-F299587816E0}" type="pres">
      <dgm:prSet presAssocID="{5ED461E7-8FE6-4BE9-8D1F-738DC9DE6B76}" presName="textNode" presStyleLbl="node1" presStyleIdx="2" presStyleCnt="3">
        <dgm:presLayoutVars>
          <dgm:bulletEnabled val="1"/>
        </dgm:presLayoutVars>
      </dgm:prSet>
      <dgm:spPr>
        <a:prstGeom prst="roundRect">
          <a:avLst/>
        </a:prstGeom>
      </dgm:spPr>
      <dgm:t>
        <a:bodyPr/>
        <a:lstStyle/>
        <a:p>
          <a:endParaRPr lang="en-US"/>
        </a:p>
      </dgm:t>
    </dgm:pt>
  </dgm:ptLst>
  <dgm:cxnLst>
    <dgm:cxn modelId="{A2F79616-485F-4F44-9EF3-8DFD0FB68FC7}" type="presOf" srcId="{897B9A1F-6F12-4EC0-B5D6-63A1606A3870}" destId="{EBF2800D-8073-478A-9060-129FBF8107A1}" srcOrd="0" destOrd="0" presId="urn:microsoft.com/office/officeart/2005/8/layout/hProcess9"/>
    <dgm:cxn modelId="{876C966A-2D1E-42F9-8DCD-3A91099E8B6D}" type="presOf" srcId="{5ED461E7-8FE6-4BE9-8D1F-738DC9DE6B76}" destId="{B7A321DF-50B4-478B-9756-F299587816E0}" srcOrd="0" destOrd="0" presId="urn:microsoft.com/office/officeart/2005/8/layout/hProcess9"/>
    <dgm:cxn modelId="{96193FAD-E2BB-46C8-8A07-8D326EFC5CEC}" srcId="{49394A11-F64A-46BD-BD34-F2C7E63F1E50}" destId="{212DB30D-889C-4099-9A0F-4FB4C0330421}" srcOrd="1" destOrd="0" parTransId="{DC91D5FB-C4E1-4B17-8336-685C4F95C69F}" sibTransId="{D4705E68-9652-48FF-BD01-EC146D2F529C}"/>
    <dgm:cxn modelId="{B1E5889D-BA92-406A-92FF-0C22EBF0C22E}" srcId="{49394A11-F64A-46BD-BD34-F2C7E63F1E50}" destId="{5ED461E7-8FE6-4BE9-8D1F-738DC9DE6B76}" srcOrd="2" destOrd="0" parTransId="{E3C906CA-514D-4270-A776-962327738E5A}" sibTransId="{78F6DA69-B7F7-431F-9157-1D6E56784E90}"/>
    <dgm:cxn modelId="{538673DA-1FA0-4C5A-867C-7CE4C7AB3D98}" srcId="{49394A11-F64A-46BD-BD34-F2C7E63F1E50}" destId="{897B9A1F-6F12-4EC0-B5D6-63A1606A3870}" srcOrd="0" destOrd="0" parTransId="{71F5B245-68E6-465C-9870-F62F9FC456EA}" sibTransId="{3D2799EE-44F4-4F24-9995-FC6641F4ACED}"/>
    <dgm:cxn modelId="{F5A7AA4E-3A07-4554-AB13-69DCCD24ABBE}" type="presOf" srcId="{212DB30D-889C-4099-9A0F-4FB4C0330421}" destId="{A5933813-5D13-4961-A2EB-2C1BC9D30296}" srcOrd="0" destOrd="0" presId="urn:microsoft.com/office/officeart/2005/8/layout/hProcess9"/>
    <dgm:cxn modelId="{4B3DABE0-1321-471D-8A87-923B2EFCD799}" type="presOf" srcId="{49394A11-F64A-46BD-BD34-F2C7E63F1E50}" destId="{A5383B3C-72AD-4CC9-87AB-B9483AF32069}" srcOrd="0" destOrd="0" presId="urn:microsoft.com/office/officeart/2005/8/layout/hProcess9"/>
    <dgm:cxn modelId="{A1F40D62-352C-4817-A322-2D2420B9223A}" type="presParOf" srcId="{A5383B3C-72AD-4CC9-87AB-B9483AF32069}" destId="{A8734734-712D-4C1C-B62D-ABDDFB4A6761}" srcOrd="0" destOrd="0" presId="urn:microsoft.com/office/officeart/2005/8/layout/hProcess9"/>
    <dgm:cxn modelId="{2A8578CB-1B0F-4466-8243-A7465AA1CDF9}" type="presParOf" srcId="{A5383B3C-72AD-4CC9-87AB-B9483AF32069}" destId="{571AFB7A-015E-4BBC-95A0-CA3612B9D526}" srcOrd="1" destOrd="0" presId="urn:microsoft.com/office/officeart/2005/8/layout/hProcess9"/>
    <dgm:cxn modelId="{A64031AF-2E98-4545-91D2-B55E955BD516}" type="presParOf" srcId="{571AFB7A-015E-4BBC-95A0-CA3612B9D526}" destId="{EBF2800D-8073-478A-9060-129FBF8107A1}" srcOrd="0" destOrd="0" presId="urn:microsoft.com/office/officeart/2005/8/layout/hProcess9"/>
    <dgm:cxn modelId="{8FAF7215-BE4E-4FE8-A0D9-8BE851981505}" type="presParOf" srcId="{571AFB7A-015E-4BBC-95A0-CA3612B9D526}" destId="{E250DD8B-F8DD-455B-9379-536FD4F67E5B}" srcOrd="1" destOrd="0" presId="urn:microsoft.com/office/officeart/2005/8/layout/hProcess9"/>
    <dgm:cxn modelId="{62D200D1-1E8C-4246-BE5B-97298011386F}" type="presParOf" srcId="{571AFB7A-015E-4BBC-95A0-CA3612B9D526}" destId="{A5933813-5D13-4961-A2EB-2C1BC9D30296}" srcOrd="2" destOrd="0" presId="urn:microsoft.com/office/officeart/2005/8/layout/hProcess9"/>
    <dgm:cxn modelId="{876FAA5B-65AB-4458-ABBB-E98F01482FA5}" type="presParOf" srcId="{571AFB7A-015E-4BBC-95A0-CA3612B9D526}" destId="{871D54F9-3FB4-463F-8491-68AF73211811}" srcOrd="3" destOrd="0" presId="urn:microsoft.com/office/officeart/2005/8/layout/hProcess9"/>
    <dgm:cxn modelId="{BC1F624C-E8C2-498B-97B6-59B8D8DDBFB8}" type="presParOf" srcId="{571AFB7A-015E-4BBC-95A0-CA3612B9D526}" destId="{B7A321DF-50B4-478B-9756-F299587816E0}" srcOrd="4" destOrd="0" presId="urn:microsoft.com/office/officeart/2005/8/layout/hProcess9"/>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592D9B2-D44F-4562-B3F6-85BB097F55C2}" type="doc">
      <dgm:prSet loTypeId="urn:microsoft.com/office/officeart/2005/8/layout/lProcess2" loCatId="list" qsTypeId="urn:microsoft.com/office/officeart/2005/8/quickstyle/simple1" qsCatId="simple" csTypeId="urn:microsoft.com/office/officeart/2005/8/colors/accent5_2" csCatId="accent5" phldr="1"/>
      <dgm:spPr/>
      <dgm:t>
        <a:bodyPr/>
        <a:lstStyle/>
        <a:p>
          <a:endParaRPr lang="en-GB"/>
        </a:p>
      </dgm:t>
    </dgm:pt>
    <dgm:pt modelId="{BFC5A5B4-D0E0-4ECC-99AF-268E7C080115}">
      <dgm:prSet phldrT="[Text]" custT="1"/>
      <dgm:spPr>
        <a:solidFill>
          <a:schemeClr val="accent4">
            <a:lumMod val="20000"/>
            <a:lumOff val="80000"/>
          </a:schemeClr>
        </a:solidFill>
        <a:effectLst>
          <a:outerShdw blurRad="50800" dist="38100" dir="5400000" algn="t" rotWithShape="0">
            <a:prstClr val="black">
              <a:alpha val="40000"/>
            </a:prstClr>
          </a:outerShdw>
        </a:effectLst>
      </dgm:spPr>
      <dgm:t>
        <a:bodyPr/>
        <a:lstStyle/>
        <a:p>
          <a:pPr algn="ctr"/>
          <a:r>
            <a:rPr lang="bs-Latn-BA" sz="1200" b="1" u="none">
              <a:solidFill>
                <a:schemeClr val="dk1">
                  <a:hueOff val="0"/>
                  <a:satOff val="0"/>
                  <a:lumOff val="0"/>
                </a:schemeClr>
              </a:solidFill>
              <a:latin typeface="+mj-lt"/>
            </a:rPr>
            <a:t>Srednjeročni cilj 1.</a:t>
          </a:r>
        </a:p>
        <a:p>
          <a:pPr algn="ctr"/>
          <a:r>
            <a:rPr lang="bs-Latn-BA" sz="1200" b="0" u="none">
              <a:solidFill>
                <a:schemeClr val="dk1">
                  <a:hueOff val="0"/>
                  <a:satOff val="0"/>
                  <a:lumOff val="0"/>
                </a:schemeClr>
              </a:solidFill>
              <a:latin typeface="+mj-lt"/>
            </a:rPr>
            <a:t>Ministarstva i službe djeluju za ravnopravnost spolova</a:t>
          </a:r>
          <a:endParaRPr lang="en-GB" sz="1200" b="0" u="none">
            <a:solidFill>
              <a:schemeClr val="dk1">
                <a:hueOff val="0"/>
                <a:satOff val="0"/>
                <a:lumOff val="0"/>
              </a:schemeClr>
            </a:solidFill>
            <a:latin typeface="+mj-lt"/>
          </a:endParaRPr>
        </a:p>
      </dgm:t>
    </dgm:pt>
    <dgm:pt modelId="{C1CEA269-8B8E-4F7B-A4F4-BA18391E6C66}" type="parTrans" cxnId="{1E8496EE-203C-41FE-870D-23B3C3B432C8}">
      <dgm:prSet/>
      <dgm:spPr/>
      <dgm:t>
        <a:bodyPr/>
        <a:lstStyle/>
        <a:p>
          <a:pPr algn="ctr"/>
          <a:endParaRPr lang="en-GB" sz="1200"/>
        </a:p>
      </dgm:t>
    </dgm:pt>
    <dgm:pt modelId="{546429B6-16A9-4B84-A81D-2F5F44AB1BD6}" type="sibTrans" cxnId="{1E8496EE-203C-41FE-870D-23B3C3B432C8}">
      <dgm:prSet/>
      <dgm:spPr/>
      <dgm:t>
        <a:bodyPr/>
        <a:lstStyle/>
        <a:p>
          <a:pPr algn="ctr"/>
          <a:endParaRPr lang="en-GB" sz="1200"/>
        </a:p>
      </dgm:t>
    </dgm:pt>
    <dgm:pt modelId="{4D8A4AE3-5B9E-4D50-A2A0-EBEC2959D23B}">
      <dgm:prSet phldrT="[Text]" custT="1"/>
      <dgm:spPr>
        <a:solidFill>
          <a:schemeClr val="accent4">
            <a:lumMod val="20000"/>
            <a:lumOff val="80000"/>
          </a:schemeClr>
        </a:solidFill>
        <a:effectLst>
          <a:outerShdw blurRad="50800" dist="38100" dir="5400000" algn="t" rotWithShape="0">
            <a:prstClr val="black">
              <a:alpha val="40000"/>
            </a:prstClr>
          </a:outerShdw>
        </a:effectLst>
      </dgm:spPr>
      <dgm:t>
        <a:bodyPr/>
        <a:lstStyle/>
        <a:p>
          <a:pPr algn="ctr">
            <a:buFont typeface="Times New Roman" panose="02020603050405020304" pitchFamily="18" charset="0"/>
            <a:buNone/>
          </a:pPr>
          <a:r>
            <a:rPr lang="bs-Latn-BA" sz="1200" b="1" u="none">
              <a:solidFill>
                <a:sysClr val="windowText" lastClr="000000"/>
              </a:solidFill>
              <a:latin typeface="+mj-lt"/>
            </a:rPr>
            <a:t>Srednjeročni cilj 2.</a:t>
          </a:r>
          <a:r>
            <a:rPr lang="bs-Latn-BA" sz="1200" b="0" u="none">
              <a:solidFill>
                <a:sysClr val="windowText" lastClr="000000"/>
              </a:solidFill>
              <a:latin typeface="+mj-lt"/>
            </a:rPr>
            <a:t> </a:t>
          </a:r>
        </a:p>
        <a:p>
          <a:pPr algn="ctr">
            <a:buFont typeface="Times New Roman" panose="02020603050405020304" pitchFamily="18" charset="0"/>
            <a:buNone/>
          </a:pPr>
          <a:r>
            <a:rPr lang="bs-Latn-BA" sz="1200" b="0" u="none">
              <a:solidFill>
                <a:sysClr val="windowText" lastClr="000000"/>
              </a:solidFill>
              <a:latin typeface="+mj-lt"/>
            </a:rPr>
            <a:t>Unapređeno je stanje ravnopravnosti spolova na području Kantona</a:t>
          </a:r>
          <a:endParaRPr lang="en-GB" sz="1200" b="0" u="none">
            <a:solidFill>
              <a:sysClr val="windowText" lastClr="000000"/>
            </a:solidFill>
            <a:latin typeface="+mj-lt"/>
          </a:endParaRPr>
        </a:p>
      </dgm:t>
    </dgm:pt>
    <dgm:pt modelId="{ED927EE5-1F16-4664-B987-03324CE1DE73}" type="sibTrans" cxnId="{86586A69-C2FE-4527-B806-E52F0FFF2033}">
      <dgm:prSet/>
      <dgm:spPr/>
      <dgm:t>
        <a:bodyPr/>
        <a:lstStyle/>
        <a:p>
          <a:pPr algn="ctr"/>
          <a:endParaRPr lang="en-GB" sz="1200"/>
        </a:p>
      </dgm:t>
    </dgm:pt>
    <dgm:pt modelId="{7D66E326-DAA3-41D5-A1C5-BA95E23446C0}" type="parTrans" cxnId="{86586A69-C2FE-4527-B806-E52F0FFF2033}">
      <dgm:prSet/>
      <dgm:spPr/>
      <dgm:t>
        <a:bodyPr/>
        <a:lstStyle/>
        <a:p>
          <a:pPr algn="ctr"/>
          <a:endParaRPr lang="en-GB" sz="1200"/>
        </a:p>
      </dgm:t>
    </dgm:pt>
    <dgm:pt modelId="{3DBD36B3-895B-4945-995F-347340854CA7}">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pPr algn="ctr"/>
          <a:r>
            <a:rPr lang="en-GB" sz="800" b="0" u="none">
              <a:ln>
                <a:noFill/>
              </a:ln>
              <a:solidFill>
                <a:sysClr val="windowText" lastClr="000000"/>
              </a:solidFill>
              <a:latin typeface="+mj-lt"/>
            </a:rPr>
            <a:t>2.1. Obrazovni sektor doprinosi ravnopravnosti spolova</a:t>
          </a:r>
        </a:p>
      </dgm:t>
    </dgm:pt>
    <dgm:pt modelId="{D03A9EC0-62BC-4884-923A-1C45567F53F4}" type="sibTrans" cxnId="{9085C025-E678-4646-BB35-1408A583077D}">
      <dgm:prSet/>
      <dgm:spPr/>
      <dgm:t>
        <a:bodyPr/>
        <a:lstStyle/>
        <a:p>
          <a:pPr algn="ctr"/>
          <a:endParaRPr lang="en-GB" sz="1200"/>
        </a:p>
      </dgm:t>
    </dgm:pt>
    <dgm:pt modelId="{23C6C05B-73DA-4050-BA90-C5F722A99B80}" type="parTrans" cxnId="{9085C025-E678-4646-BB35-1408A583077D}">
      <dgm:prSet/>
      <dgm:spPr/>
      <dgm:t>
        <a:bodyPr/>
        <a:lstStyle/>
        <a:p>
          <a:pPr algn="ctr"/>
          <a:endParaRPr lang="en-GB" sz="1200"/>
        </a:p>
      </dgm:t>
    </dgm:pt>
    <dgm:pt modelId="{AE24C239-1508-4755-819F-5E87AEBD125C}">
      <dgm:prSet custT="1"/>
      <dgm:spPr>
        <a:solidFill>
          <a:schemeClr val="accent4">
            <a:lumMod val="20000"/>
            <a:lumOff val="80000"/>
          </a:schemeClr>
        </a:solidFill>
        <a:effectLst>
          <a:outerShdw blurRad="50800" dist="38100" dir="5400000" algn="t" rotWithShape="0">
            <a:prstClr val="black">
              <a:alpha val="40000"/>
            </a:prstClr>
          </a:outerShdw>
        </a:effectLst>
      </dgm:spPr>
      <dgm:t>
        <a:bodyPr/>
        <a:lstStyle/>
        <a:p>
          <a:pPr algn="ctr">
            <a:buFont typeface="Times New Roman" panose="02020603050405020304" pitchFamily="18" charset="0"/>
            <a:buNone/>
          </a:pPr>
          <a:endParaRPr lang="bs-Latn-BA" sz="900" b="1" u="none">
            <a:solidFill>
              <a:schemeClr val="dk1">
                <a:hueOff val="0"/>
                <a:satOff val="0"/>
                <a:lumOff val="0"/>
              </a:schemeClr>
            </a:solidFill>
            <a:latin typeface="+mj-lt"/>
          </a:endParaRPr>
        </a:p>
        <a:p>
          <a:pPr algn="ctr">
            <a:buFont typeface="Times New Roman" panose="02020603050405020304" pitchFamily="18" charset="0"/>
            <a:buNone/>
          </a:pPr>
          <a:r>
            <a:rPr lang="bs-Latn-BA" sz="1200" b="1" u="none">
              <a:solidFill>
                <a:schemeClr val="dk1">
                  <a:hueOff val="0"/>
                  <a:satOff val="0"/>
                  <a:lumOff val="0"/>
                </a:schemeClr>
              </a:solidFill>
              <a:latin typeface="+mj-lt"/>
            </a:rPr>
            <a:t>Srednjeročni cilj 3.</a:t>
          </a:r>
        </a:p>
        <a:p>
          <a:pPr algn="ctr">
            <a:buFont typeface="Times New Roman" panose="02020603050405020304" pitchFamily="18" charset="0"/>
            <a:buNone/>
          </a:pPr>
          <a:r>
            <a:rPr lang="bs-Latn-BA" sz="1200" b="0" u="none">
              <a:solidFill>
                <a:schemeClr val="dk1">
                  <a:hueOff val="0"/>
                  <a:satOff val="0"/>
                  <a:lumOff val="0"/>
                </a:schemeClr>
              </a:solidFill>
              <a:latin typeface="+mj-lt"/>
            </a:rPr>
            <a:t>Prati se stanje i sarađuje sa drugim akterima na unapređenju stanja ravnopravnosti spolova</a:t>
          </a:r>
          <a:endParaRPr lang="en-GB" sz="1200" b="0" u="none">
            <a:solidFill>
              <a:schemeClr val="dk1">
                <a:hueOff val="0"/>
                <a:satOff val="0"/>
                <a:lumOff val="0"/>
              </a:schemeClr>
            </a:solidFill>
            <a:latin typeface="+mj-lt"/>
          </a:endParaRPr>
        </a:p>
      </dgm:t>
    </dgm:pt>
    <dgm:pt modelId="{4F752E05-CB6A-4506-8A06-09912BD739E9}" type="sibTrans" cxnId="{DA64625C-C6E3-4242-8261-2C433CB9AABF}">
      <dgm:prSet/>
      <dgm:spPr/>
      <dgm:t>
        <a:bodyPr/>
        <a:lstStyle/>
        <a:p>
          <a:endParaRPr lang="en-GB"/>
        </a:p>
      </dgm:t>
    </dgm:pt>
    <dgm:pt modelId="{0B3BECE6-21FA-4789-BE69-C90ACF0A98A8}" type="parTrans" cxnId="{DA64625C-C6E3-4242-8261-2C433CB9AABF}">
      <dgm:prSet/>
      <dgm:spPr/>
      <dgm:t>
        <a:bodyPr/>
        <a:lstStyle/>
        <a:p>
          <a:endParaRPr lang="en-GB"/>
        </a:p>
      </dgm:t>
    </dgm:pt>
    <dgm:pt modelId="{D7C1734D-898B-4F62-9B56-8AC4654F72B8}">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pPr algn="ctr">
            <a:buFont typeface="Times New Roman" panose="02020603050405020304" pitchFamily="18" charset="0"/>
            <a:buNone/>
          </a:pPr>
          <a:r>
            <a:rPr lang="en-GB" sz="800" b="0" u="none">
              <a:ln>
                <a:noFill/>
              </a:ln>
              <a:solidFill>
                <a:sysClr val="windowText" lastClr="000000"/>
              </a:solidFill>
              <a:latin typeface="+mj-lt"/>
            </a:rPr>
            <a:t>3.1. Kanton doprinosi promociji ravnopravnost spolova</a:t>
          </a:r>
        </a:p>
      </dgm:t>
    </dgm:pt>
    <dgm:pt modelId="{38DC338E-5C6A-41B7-8DAE-627D2412ACD9}" type="parTrans" cxnId="{F0F11A73-819C-4091-AA0E-CFE1FFC8B6F8}">
      <dgm:prSet/>
      <dgm:spPr/>
      <dgm:t>
        <a:bodyPr/>
        <a:lstStyle/>
        <a:p>
          <a:endParaRPr lang="en-GB"/>
        </a:p>
      </dgm:t>
    </dgm:pt>
    <dgm:pt modelId="{29578650-2402-4715-8F29-C1B1DE6255C2}" type="sibTrans" cxnId="{F0F11A73-819C-4091-AA0E-CFE1FFC8B6F8}">
      <dgm:prSet/>
      <dgm:spPr/>
      <dgm:t>
        <a:bodyPr/>
        <a:lstStyle/>
        <a:p>
          <a:endParaRPr lang="en-GB"/>
        </a:p>
      </dgm:t>
    </dgm:pt>
    <dgm:pt modelId="{8AFF3F67-ECD1-44A3-886F-793B64212692}">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en-GB" sz="800" b="0" u="none">
              <a:ln>
                <a:noFill/>
              </a:ln>
              <a:solidFill>
                <a:sysClr val="windowText" lastClr="000000"/>
              </a:solidFill>
              <a:latin typeface="+mj-lt"/>
            </a:rPr>
            <a:t>3.2. Redovno se prati stanje ravnopravnosti spolova na području</a:t>
          </a:r>
          <a:r>
            <a:rPr lang="bs-Latn-BA" sz="800" b="0" u="none">
              <a:ln>
                <a:noFill/>
              </a:ln>
              <a:solidFill>
                <a:sysClr val="windowText" lastClr="000000"/>
              </a:solidFill>
              <a:latin typeface="+mj-lt"/>
            </a:rPr>
            <a:t> Kantona</a:t>
          </a:r>
          <a:endParaRPr lang="en-GB" sz="800" b="0" u="none">
            <a:ln>
              <a:noFill/>
            </a:ln>
            <a:solidFill>
              <a:sysClr val="windowText" lastClr="000000"/>
            </a:solidFill>
            <a:latin typeface="+mj-lt"/>
          </a:endParaRPr>
        </a:p>
      </dgm:t>
    </dgm:pt>
    <dgm:pt modelId="{F6BEE6D4-A300-4109-A9D7-3C7CFF775CBB}" type="parTrans" cxnId="{6D23537C-B4BD-4FF5-A2CC-C97235B3C35F}">
      <dgm:prSet/>
      <dgm:spPr/>
      <dgm:t>
        <a:bodyPr/>
        <a:lstStyle/>
        <a:p>
          <a:endParaRPr lang="en-GB"/>
        </a:p>
      </dgm:t>
    </dgm:pt>
    <dgm:pt modelId="{71BCBD98-F085-4966-B5D0-9AEBE88CEF3D}" type="sibTrans" cxnId="{6D23537C-B4BD-4FF5-A2CC-C97235B3C35F}">
      <dgm:prSet/>
      <dgm:spPr/>
      <dgm:t>
        <a:bodyPr/>
        <a:lstStyle/>
        <a:p>
          <a:endParaRPr lang="en-GB"/>
        </a:p>
      </dgm:t>
    </dgm:pt>
    <dgm:pt modelId="{C24D6F58-2CC8-4FE3-A59E-63944EC32571}">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en-GB" sz="800" b="0" u="none">
              <a:ln>
                <a:noFill/>
              </a:ln>
              <a:solidFill>
                <a:sysClr val="windowText" lastClr="000000"/>
              </a:solidFill>
              <a:latin typeface="+mj-lt"/>
            </a:rPr>
            <a:t>3.3. Civilno društvo učestvuje u definiranju prioriteta za djelovanje u oblasti ravnopravnosti spolova</a:t>
          </a:r>
        </a:p>
      </dgm:t>
    </dgm:pt>
    <dgm:pt modelId="{AB532D39-D17A-4DCF-94D7-155268EBD95B}" type="parTrans" cxnId="{805E7922-B28C-4137-B30F-209273A35F09}">
      <dgm:prSet/>
      <dgm:spPr/>
      <dgm:t>
        <a:bodyPr/>
        <a:lstStyle/>
        <a:p>
          <a:endParaRPr lang="en-GB"/>
        </a:p>
      </dgm:t>
    </dgm:pt>
    <dgm:pt modelId="{E1CFD291-55DC-4D90-ADF0-B50F0F3CAD33}" type="sibTrans" cxnId="{805E7922-B28C-4137-B30F-209273A35F09}">
      <dgm:prSet/>
      <dgm:spPr/>
      <dgm:t>
        <a:bodyPr/>
        <a:lstStyle/>
        <a:p>
          <a:endParaRPr lang="en-GB"/>
        </a:p>
      </dgm:t>
    </dgm:pt>
    <dgm:pt modelId="{B3E86F40-CD15-420F-A26C-2F7E1CA06E99}">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en-GB" sz="800" b="0" u="none">
              <a:ln>
                <a:noFill/>
              </a:ln>
              <a:solidFill>
                <a:sysClr val="windowText" lastClr="000000"/>
              </a:solidFill>
              <a:latin typeface="+mj-lt"/>
            </a:rPr>
            <a:t>1.</a:t>
          </a:r>
          <a:r>
            <a:rPr lang="bs-Latn-BA" sz="800" b="0" u="none">
              <a:ln>
                <a:noFill/>
              </a:ln>
              <a:solidFill>
                <a:sysClr val="windowText" lastClr="000000"/>
              </a:solidFill>
              <a:latin typeface="+mj-lt"/>
            </a:rPr>
            <a:t>1</a:t>
          </a:r>
          <a:r>
            <a:rPr lang="en-GB" sz="800" b="0" u="none">
              <a:ln>
                <a:noFill/>
              </a:ln>
              <a:solidFill>
                <a:sysClr val="windowText" lastClr="000000"/>
              </a:solidFill>
              <a:latin typeface="+mj-lt"/>
            </a:rPr>
            <a:t>. </a:t>
          </a:r>
          <a:r>
            <a:rPr lang="bs-Latn-BA" sz="800" b="0" u="none">
              <a:ln>
                <a:noFill/>
              </a:ln>
              <a:solidFill>
                <a:sysClr val="windowText" lastClr="000000"/>
              </a:solidFill>
              <a:latin typeface="+mj-lt"/>
            </a:rPr>
            <a:t>Analiza rada</a:t>
          </a:r>
          <a:r>
            <a:rPr lang="en-GB" sz="800" b="0" u="none">
              <a:ln>
                <a:noFill/>
              </a:ln>
              <a:solidFill>
                <a:sysClr val="windowText" lastClr="000000"/>
              </a:solidFill>
              <a:latin typeface="+mj-lt"/>
            </a:rPr>
            <a:t> koordinacionog odbora </a:t>
          </a:r>
          <a:r>
            <a:rPr lang="bs-Latn-BA" sz="800" b="0" u="none">
              <a:ln>
                <a:noFill/>
              </a:ln>
              <a:solidFill>
                <a:sysClr val="windowText" lastClr="000000"/>
              </a:solidFill>
              <a:latin typeface="+mj-lt"/>
            </a:rPr>
            <a:t>za praćenje GAPa</a:t>
          </a:r>
          <a:endParaRPr lang="en-GB" sz="800" b="0" u="none">
            <a:ln>
              <a:noFill/>
            </a:ln>
            <a:solidFill>
              <a:sysClr val="windowText" lastClr="000000"/>
            </a:solidFill>
            <a:latin typeface="+mj-lt"/>
          </a:endParaRPr>
        </a:p>
      </dgm:t>
    </dgm:pt>
    <dgm:pt modelId="{DED3416C-1F18-45A7-ABB8-10D05D56C993}" type="parTrans" cxnId="{D92EADAF-6D65-420A-AD71-1CA9C55BDBB3}">
      <dgm:prSet/>
      <dgm:spPr/>
      <dgm:t>
        <a:bodyPr/>
        <a:lstStyle/>
        <a:p>
          <a:endParaRPr lang="en-GB"/>
        </a:p>
      </dgm:t>
    </dgm:pt>
    <dgm:pt modelId="{66390D37-1F65-4B19-B83B-C0A56F6D2D4D}" type="sibTrans" cxnId="{D92EADAF-6D65-420A-AD71-1CA9C55BDBB3}">
      <dgm:prSet/>
      <dgm:spPr/>
      <dgm:t>
        <a:bodyPr/>
        <a:lstStyle/>
        <a:p>
          <a:endParaRPr lang="en-GB"/>
        </a:p>
      </dgm:t>
    </dgm:pt>
    <dgm:pt modelId="{1FD09D2E-2A74-4CD8-8429-414EE7BF54B9}">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en-GB" sz="800" b="0" u="none">
              <a:ln>
                <a:noFill/>
              </a:ln>
              <a:solidFill>
                <a:sysClr val="windowText" lastClr="000000"/>
              </a:solidFill>
              <a:latin typeface="+mj-lt"/>
            </a:rPr>
            <a:t>1.</a:t>
          </a:r>
          <a:r>
            <a:rPr lang="bs-Latn-BA" sz="800" b="0" u="none">
              <a:ln>
                <a:noFill/>
              </a:ln>
              <a:solidFill>
                <a:sysClr val="windowText" lastClr="000000"/>
              </a:solidFill>
              <a:latin typeface="+mj-lt"/>
            </a:rPr>
            <a:t>3. </a:t>
          </a:r>
          <a:r>
            <a:rPr lang="en-GB" sz="800" b="0" u="none">
              <a:ln>
                <a:noFill/>
              </a:ln>
              <a:solidFill>
                <a:sysClr val="windowText" lastClr="000000"/>
              </a:solidFill>
              <a:latin typeface="+mj-lt"/>
            </a:rPr>
            <a:t>Uspostavljeni instrumenti za redovnu procjenu uticaja propisa na ravnopravnost spolova</a:t>
          </a:r>
        </a:p>
      </dgm:t>
    </dgm:pt>
    <dgm:pt modelId="{030A6A70-0533-4328-AD04-C2E004A32CC0}" type="parTrans" cxnId="{8A67BA74-2DC4-47AA-86CA-0F0BCEFA63CE}">
      <dgm:prSet/>
      <dgm:spPr/>
      <dgm:t>
        <a:bodyPr/>
        <a:lstStyle/>
        <a:p>
          <a:endParaRPr lang="en-GB"/>
        </a:p>
      </dgm:t>
    </dgm:pt>
    <dgm:pt modelId="{22261017-F9CA-455E-94F9-BF39C9DEED39}" type="sibTrans" cxnId="{8A67BA74-2DC4-47AA-86CA-0F0BCEFA63CE}">
      <dgm:prSet/>
      <dgm:spPr/>
      <dgm:t>
        <a:bodyPr/>
        <a:lstStyle/>
        <a:p>
          <a:endParaRPr lang="en-GB"/>
        </a:p>
      </dgm:t>
    </dgm:pt>
    <dgm:pt modelId="{834896FD-658C-4F57-8953-0DCAA55ABA70}">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en-GB" sz="800" b="0" u="none">
              <a:ln>
                <a:noFill/>
              </a:ln>
              <a:solidFill>
                <a:sysClr val="windowText" lastClr="000000"/>
              </a:solidFill>
              <a:latin typeface="+mj-lt"/>
            </a:rPr>
            <a:t>1.</a:t>
          </a:r>
          <a:r>
            <a:rPr lang="bs-Latn-BA" sz="800" b="0" u="none">
              <a:ln>
                <a:noFill/>
              </a:ln>
              <a:solidFill>
                <a:sysClr val="windowText" lastClr="000000"/>
              </a:solidFill>
              <a:latin typeface="+mj-lt"/>
            </a:rPr>
            <a:t>4</a:t>
          </a:r>
          <a:r>
            <a:rPr lang="en-GB" sz="800" b="0" u="none">
              <a:ln>
                <a:noFill/>
              </a:ln>
              <a:solidFill>
                <a:sysClr val="windowText" lastClr="000000"/>
              </a:solidFill>
              <a:latin typeface="+mj-lt"/>
            </a:rPr>
            <a:t>. Provedene sektorske analize mogućnosti za unapređenje stanja ravnopravnosti spolova u prioritetnim oblastima</a:t>
          </a:r>
        </a:p>
      </dgm:t>
    </dgm:pt>
    <dgm:pt modelId="{EBD667CB-E7B3-421A-AD89-F2C591673D74}" type="parTrans" cxnId="{21549C01-613F-4DF7-9B30-F8292D9F8500}">
      <dgm:prSet/>
      <dgm:spPr/>
      <dgm:t>
        <a:bodyPr/>
        <a:lstStyle/>
        <a:p>
          <a:endParaRPr lang="en-GB"/>
        </a:p>
      </dgm:t>
    </dgm:pt>
    <dgm:pt modelId="{A59FBF97-57D9-4ED2-BCC2-08FE5440BC69}" type="sibTrans" cxnId="{21549C01-613F-4DF7-9B30-F8292D9F8500}">
      <dgm:prSet/>
      <dgm:spPr/>
      <dgm:t>
        <a:bodyPr/>
        <a:lstStyle/>
        <a:p>
          <a:endParaRPr lang="en-GB"/>
        </a:p>
      </dgm:t>
    </dgm:pt>
    <dgm:pt modelId="{7324F91D-2FE5-46D5-8548-240178176D6B}">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en-GB" sz="800" b="0" u="none">
              <a:ln>
                <a:noFill/>
              </a:ln>
              <a:solidFill>
                <a:sysClr val="windowText" lastClr="000000"/>
              </a:solidFill>
              <a:latin typeface="+mj-lt"/>
            </a:rPr>
            <a:t>1.</a:t>
          </a:r>
          <a:r>
            <a:rPr lang="bs-Latn-BA" sz="800" b="0" u="none">
              <a:ln>
                <a:noFill/>
              </a:ln>
              <a:solidFill>
                <a:sysClr val="windowText" lastClr="000000"/>
              </a:solidFill>
              <a:latin typeface="+mj-lt"/>
            </a:rPr>
            <a:t>5</a:t>
          </a:r>
          <a:r>
            <a:rPr lang="en-GB" sz="800" b="0" u="none">
              <a:ln>
                <a:noFill/>
              </a:ln>
              <a:solidFill>
                <a:sysClr val="windowText" lastClr="000000"/>
              </a:solidFill>
              <a:latin typeface="+mj-lt"/>
            </a:rPr>
            <a:t>. Budžet sadrži procjenu uticaja na ravnopravnost spolova (rodno-odgovorno budžetiranje)</a:t>
          </a:r>
        </a:p>
      </dgm:t>
    </dgm:pt>
    <dgm:pt modelId="{B297E42D-386E-4A96-92A0-46965A0FD369}" type="parTrans" cxnId="{4F93FDDD-4512-4735-95DF-F051A118C884}">
      <dgm:prSet/>
      <dgm:spPr/>
      <dgm:t>
        <a:bodyPr/>
        <a:lstStyle/>
        <a:p>
          <a:endParaRPr lang="en-GB"/>
        </a:p>
      </dgm:t>
    </dgm:pt>
    <dgm:pt modelId="{72665912-FE75-4851-9170-5AF1B5E42D0F}" type="sibTrans" cxnId="{4F93FDDD-4512-4735-95DF-F051A118C884}">
      <dgm:prSet/>
      <dgm:spPr/>
      <dgm:t>
        <a:bodyPr/>
        <a:lstStyle/>
        <a:p>
          <a:endParaRPr lang="en-GB"/>
        </a:p>
      </dgm:t>
    </dgm:pt>
    <dgm:pt modelId="{0D403033-9A52-4066-B954-ABB25CA8122D}">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en-GB" sz="800" b="0" u="none">
              <a:ln>
                <a:noFill/>
              </a:ln>
              <a:solidFill>
                <a:sysClr val="windowText" lastClr="000000"/>
              </a:solidFill>
              <a:latin typeface="+mj-lt"/>
            </a:rPr>
            <a:t>2.2. Smanjen jaz između žena i muškaraca na tržištu rada</a:t>
          </a:r>
        </a:p>
      </dgm:t>
    </dgm:pt>
    <dgm:pt modelId="{F04EE9FB-5BBA-4D9E-BD96-7D1978B6BB6C}" type="parTrans" cxnId="{464930EC-C79B-45B4-8AA2-C69AEA489782}">
      <dgm:prSet/>
      <dgm:spPr/>
      <dgm:t>
        <a:bodyPr/>
        <a:lstStyle/>
        <a:p>
          <a:endParaRPr lang="en-GB"/>
        </a:p>
      </dgm:t>
    </dgm:pt>
    <dgm:pt modelId="{0AEA35D2-2CCC-4DE5-9C7B-6D1C8841F730}" type="sibTrans" cxnId="{464930EC-C79B-45B4-8AA2-C69AEA489782}">
      <dgm:prSet/>
      <dgm:spPr/>
      <dgm:t>
        <a:bodyPr/>
        <a:lstStyle/>
        <a:p>
          <a:endParaRPr lang="en-GB"/>
        </a:p>
      </dgm:t>
    </dgm:pt>
    <dgm:pt modelId="{59BB90BB-7A91-44D8-8F1B-20C8FEA4F184}">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en-GB" sz="800" b="0" u="none">
              <a:ln>
                <a:noFill/>
              </a:ln>
              <a:solidFill>
                <a:sysClr val="windowText" lastClr="000000"/>
              </a:solidFill>
              <a:latin typeface="+mj-lt"/>
            </a:rPr>
            <a:t>2.</a:t>
          </a:r>
          <a:r>
            <a:rPr lang="bs-Latn-BA" sz="800" b="0" u="none">
              <a:ln>
                <a:noFill/>
              </a:ln>
              <a:solidFill>
                <a:sysClr val="windowText" lastClr="000000"/>
              </a:solidFill>
              <a:latin typeface="+mj-lt"/>
            </a:rPr>
            <a:t>3</a:t>
          </a:r>
          <a:r>
            <a:rPr lang="en-GB" sz="800" b="0" u="none">
              <a:ln>
                <a:noFill/>
              </a:ln>
              <a:solidFill>
                <a:sysClr val="windowText" lastClr="000000"/>
              </a:solidFill>
              <a:latin typeface="+mj-lt"/>
            </a:rPr>
            <a:t>. Prevencija i zaštita od nasilja u porodici i nasilja na </a:t>
          </a:r>
          <a:r>
            <a:rPr lang="bs-Latn-BA" sz="800" b="0" u="none">
              <a:ln>
                <a:noFill/>
              </a:ln>
              <a:solidFill>
                <a:sysClr val="windowText" lastClr="000000"/>
              </a:solidFill>
              <a:latin typeface="+mj-lt"/>
            </a:rPr>
            <a:t>osnovu spola</a:t>
          </a:r>
          <a:endParaRPr lang="en-GB" sz="800" b="0" u="none">
            <a:ln>
              <a:noFill/>
            </a:ln>
            <a:solidFill>
              <a:sysClr val="windowText" lastClr="000000"/>
            </a:solidFill>
            <a:latin typeface="+mj-lt"/>
          </a:endParaRPr>
        </a:p>
      </dgm:t>
    </dgm:pt>
    <dgm:pt modelId="{73181A04-D028-4586-9D35-601FF2E0115C}" type="parTrans" cxnId="{A3E5CACF-6D70-4199-85D5-9B405C247555}">
      <dgm:prSet/>
      <dgm:spPr/>
      <dgm:t>
        <a:bodyPr/>
        <a:lstStyle/>
        <a:p>
          <a:endParaRPr lang="en-GB"/>
        </a:p>
      </dgm:t>
    </dgm:pt>
    <dgm:pt modelId="{CC534DB0-85AC-4216-8D01-9381B99FA27D}" type="sibTrans" cxnId="{A3E5CACF-6D70-4199-85D5-9B405C247555}">
      <dgm:prSet/>
      <dgm:spPr/>
      <dgm:t>
        <a:bodyPr/>
        <a:lstStyle/>
        <a:p>
          <a:endParaRPr lang="en-GB"/>
        </a:p>
      </dgm:t>
    </dgm:pt>
    <dgm:pt modelId="{D2B067F4-28AD-4FC1-A7BC-B73BCE1FB58D}">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en-GB" sz="800" b="0" u="none">
              <a:ln>
                <a:noFill/>
              </a:ln>
              <a:solidFill>
                <a:sysClr val="windowText" lastClr="000000"/>
              </a:solidFill>
              <a:latin typeface="+mj-lt"/>
            </a:rPr>
            <a:t>2.</a:t>
          </a:r>
          <a:r>
            <a:rPr lang="bs-Latn-BA" sz="800" b="0" u="none">
              <a:ln>
                <a:noFill/>
              </a:ln>
              <a:solidFill>
                <a:sysClr val="windowText" lastClr="000000"/>
              </a:solidFill>
              <a:latin typeface="+mj-lt"/>
            </a:rPr>
            <a:t>4</a:t>
          </a:r>
          <a:r>
            <a:rPr lang="en-GB" sz="800" b="0" u="none">
              <a:ln>
                <a:noFill/>
              </a:ln>
              <a:solidFill>
                <a:sysClr val="windowText" lastClr="000000"/>
              </a:solidFill>
              <a:latin typeface="+mj-lt"/>
            </a:rPr>
            <a:t>. Osigurana ravnopravna zastupljenost osoba muškog i ženskog spola u tijelima nad kojima Kanton vrši nadzor</a:t>
          </a:r>
        </a:p>
      </dgm:t>
    </dgm:pt>
    <dgm:pt modelId="{EC1BB703-7EFC-42C7-A99F-B1162E68B89A}" type="parTrans" cxnId="{66B164E7-2BC7-4D1B-9D77-8BE8501F6011}">
      <dgm:prSet/>
      <dgm:spPr/>
      <dgm:t>
        <a:bodyPr/>
        <a:lstStyle/>
        <a:p>
          <a:endParaRPr lang="en-GB"/>
        </a:p>
      </dgm:t>
    </dgm:pt>
    <dgm:pt modelId="{C0D88EB0-3C6F-4021-A8A1-F0EB13C6B72F}" type="sibTrans" cxnId="{66B164E7-2BC7-4D1B-9D77-8BE8501F6011}">
      <dgm:prSet/>
      <dgm:spPr/>
      <dgm:t>
        <a:bodyPr/>
        <a:lstStyle/>
        <a:p>
          <a:endParaRPr lang="en-GB"/>
        </a:p>
      </dgm:t>
    </dgm:pt>
    <dgm:pt modelId="{775D0B3C-97B1-4247-A620-34384AA3AFED}">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bs-Latn-BA" sz="800" b="0" u="none">
              <a:ln>
                <a:noFill/>
              </a:ln>
              <a:solidFill>
                <a:sysClr val="windowText" lastClr="000000"/>
              </a:solidFill>
              <a:latin typeface="+mj-lt"/>
            </a:rPr>
            <a:t>2.5. Unaprijeđeno zdravlje i seksualno i reproduktivno zdravlje</a:t>
          </a:r>
          <a:endParaRPr lang="en-GB" sz="800" b="0" u="none">
            <a:ln>
              <a:noFill/>
            </a:ln>
            <a:solidFill>
              <a:sysClr val="windowText" lastClr="000000"/>
            </a:solidFill>
            <a:latin typeface="+mj-lt"/>
          </a:endParaRPr>
        </a:p>
      </dgm:t>
    </dgm:pt>
    <dgm:pt modelId="{9A180D2E-DEEF-49C8-8973-2094E4F186DA}" type="parTrans" cxnId="{1518C54C-1C5F-4CAB-82BC-CE04C068DB4B}">
      <dgm:prSet/>
      <dgm:spPr/>
      <dgm:t>
        <a:bodyPr/>
        <a:lstStyle/>
        <a:p>
          <a:endParaRPr lang="en-GB"/>
        </a:p>
      </dgm:t>
    </dgm:pt>
    <dgm:pt modelId="{DEE20D9E-F03B-4BF0-8E9B-03338C202422}" type="sibTrans" cxnId="{1518C54C-1C5F-4CAB-82BC-CE04C068DB4B}">
      <dgm:prSet/>
      <dgm:spPr/>
      <dgm:t>
        <a:bodyPr/>
        <a:lstStyle/>
        <a:p>
          <a:endParaRPr lang="en-GB"/>
        </a:p>
      </dgm:t>
    </dgm:pt>
    <dgm:pt modelId="{CAD4F60A-FDD7-4568-A139-1AB0068D16B8}">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bs-Latn-BA" sz="800" b="0" u="none">
              <a:ln>
                <a:noFill/>
              </a:ln>
              <a:solidFill>
                <a:sysClr val="windowText" lastClr="000000"/>
              </a:solidFill>
              <a:latin typeface="+mj-lt"/>
            </a:rPr>
            <a:t>2.6. Uključena ravnopravnost spolova u kontekstu zaštite okoliša i klimatskih promjena</a:t>
          </a:r>
          <a:endParaRPr lang="en-GB" sz="800" b="0" u="none">
            <a:ln>
              <a:noFill/>
            </a:ln>
            <a:solidFill>
              <a:sysClr val="windowText" lastClr="000000"/>
            </a:solidFill>
            <a:latin typeface="+mj-lt"/>
          </a:endParaRPr>
        </a:p>
      </dgm:t>
    </dgm:pt>
    <dgm:pt modelId="{B3AA4C8B-B952-464B-9B77-1C1923B9604B}" type="parTrans" cxnId="{962B8823-EFD7-425E-A60E-A1A3DD23938B}">
      <dgm:prSet/>
      <dgm:spPr/>
    </dgm:pt>
    <dgm:pt modelId="{D8CFEDFA-0D93-464B-8AFD-83EEEFF70468}" type="sibTrans" cxnId="{962B8823-EFD7-425E-A60E-A1A3DD23938B}">
      <dgm:prSet/>
      <dgm:spPr/>
    </dgm:pt>
    <dgm:pt modelId="{E2E23B5C-04E9-4457-A937-E9E5544A43C5}">
      <dgm:prSet custT="1"/>
      <dgm:spPr>
        <a:solidFill>
          <a:schemeClr val="accent5">
            <a:lumMod val="40000"/>
            <a:lumOff val="60000"/>
          </a:schemeClr>
        </a:solidFill>
        <a:ln w="9525"/>
        <a:effectLst>
          <a:outerShdw blurRad="50800" dist="38100" dir="5400000" algn="t" rotWithShape="0">
            <a:prstClr val="black">
              <a:alpha val="40000"/>
            </a:prstClr>
          </a:outerShdw>
        </a:effectLst>
      </dgm:spPr>
      <dgm:t>
        <a:bodyPr/>
        <a:lstStyle/>
        <a:p>
          <a:r>
            <a:rPr lang="bs-Latn-BA" sz="800" b="0" u="none">
              <a:solidFill>
                <a:sysClr val="windowText" lastClr="000000"/>
              </a:solidFill>
              <a:latin typeface="+mj-lt"/>
            </a:rPr>
            <a:t>1.2. </a:t>
          </a:r>
          <a:r>
            <a:rPr lang="en-GB" sz="800" b="0" u="none">
              <a:solidFill>
                <a:sysClr val="windowText" lastClr="000000"/>
              </a:solidFill>
              <a:latin typeface="+mj-lt"/>
            </a:rPr>
            <a:t>Kapaciteti koordinacionog odbora unaprijeđeni</a:t>
          </a:r>
          <a:endParaRPr lang="en-GB" sz="800" b="0" u="none">
            <a:ln>
              <a:noFill/>
            </a:ln>
            <a:solidFill>
              <a:sysClr val="windowText" lastClr="000000"/>
            </a:solidFill>
            <a:latin typeface="+mj-lt"/>
          </a:endParaRPr>
        </a:p>
      </dgm:t>
    </dgm:pt>
    <dgm:pt modelId="{E8BBF24C-729B-4448-8579-DFB520721E9C}" type="parTrans" cxnId="{F3E17D35-2FF8-4ED5-A0CE-B15DE1FFCE1C}">
      <dgm:prSet/>
      <dgm:spPr/>
    </dgm:pt>
    <dgm:pt modelId="{1AAA12CD-9853-42D1-B361-DCB069F1C8AE}" type="sibTrans" cxnId="{F3E17D35-2FF8-4ED5-A0CE-B15DE1FFCE1C}">
      <dgm:prSet/>
      <dgm:spPr/>
    </dgm:pt>
    <dgm:pt modelId="{BFD9EC66-7E1E-4820-8143-4C8C648D0EDB}" type="pres">
      <dgm:prSet presAssocID="{B592D9B2-D44F-4562-B3F6-85BB097F55C2}" presName="theList" presStyleCnt="0">
        <dgm:presLayoutVars>
          <dgm:dir/>
          <dgm:animLvl val="lvl"/>
          <dgm:resizeHandles val="exact"/>
        </dgm:presLayoutVars>
      </dgm:prSet>
      <dgm:spPr/>
      <dgm:t>
        <a:bodyPr/>
        <a:lstStyle/>
        <a:p>
          <a:endParaRPr lang="en-US"/>
        </a:p>
      </dgm:t>
    </dgm:pt>
    <dgm:pt modelId="{70040366-AC5E-4F84-8C3F-4BEEC2FF5248}" type="pres">
      <dgm:prSet presAssocID="{BFC5A5B4-D0E0-4ECC-99AF-268E7C080115}" presName="compNode" presStyleCnt="0"/>
      <dgm:spPr/>
    </dgm:pt>
    <dgm:pt modelId="{E3CF6BE0-7E62-4AA4-A92C-A5129AA56180}" type="pres">
      <dgm:prSet presAssocID="{BFC5A5B4-D0E0-4ECC-99AF-268E7C080115}" presName="aNode" presStyleLbl="bgShp" presStyleIdx="0" presStyleCnt="3" custLinFactNeighborX="1200" custLinFactNeighborY="177"/>
      <dgm:spPr/>
      <dgm:t>
        <a:bodyPr/>
        <a:lstStyle/>
        <a:p>
          <a:endParaRPr lang="en-US"/>
        </a:p>
      </dgm:t>
    </dgm:pt>
    <dgm:pt modelId="{F5BEC532-5C5C-4ACC-85F9-FB8F45D740E7}" type="pres">
      <dgm:prSet presAssocID="{BFC5A5B4-D0E0-4ECC-99AF-268E7C080115}" presName="textNode" presStyleLbl="bgShp" presStyleIdx="0" presStyleCnt="3"/>
      <dgm:spPr/>
      <dgm:t>
        <a:bodyPr/>
        <a:lstStyle/>
        <a:p>
          <a:endParaRPr lang="en-US"/>
        </a:p>
      </dgm:t>
    </dgm:pt>
    <dgm:pt modelId="{F048DCBF-3A4A-4DD7-84FE-45DF2C77013E}" type="pres">
      <dgm:prSet presAssocID="{BFC5A5B4-D0E0-4ECC-99AF-268E7C080115}" presName="compChildNode" presStyleCnt="0"/>
      <dgm:spPr/>
    </dgm:pt>
    <dgm:pt modelId="{AB68AA8A-5BE2-4ED6-AB57-60499023DFB5}" type="pres">
      <dgm:prSet presAssocID="{BFC5A5B4-D0E0-4ECC-99AF-268E7C080115}" presName="theInnerList" presStyleCnt="0"/>
      <dgm:spPr/>
    </dgm:pt>
    <dgm:pt modelId="{B01F5F53-8BEA-4E74-8C87-6E14B320FA8D}" type="pres">
      <dgm:prSet presAssocID="{B3E86F40-CD15-420F-A26C-2F7E1CA06E99}" presName="childNode" presStyleLbl="node1" presStyleIdx="0" presStyleCnt="14">
        <dgm:presLayoutVars>
          <dgm:bulletEnabled val="1"/>
        </dgm:presLayoutVars>
      </dgm:prSet>
      <dgm:spPr/>
      <dgm:t>
        <a:bodyPr/>
        <a:lstStyle/>
        <a:p>
          <a:endParaRPr lang="en-US"/>
        </a:p>
      </dgm:t>
    </dgm:pt>
    <dgm:pt modelId="{DFBB0A4C-A5D5-45D8-B406-82BC30D9D760}" type="pres">
      <dgm:prSet presAssocID="{B3E86F40-CD15-420F-A26C-2F7E1CA06E99}" presName="aSpace2" presStyleCnt="0"/>
      <dgm:spPr/>
    </dgm:pt>
    <dgm:pt modelId="{E696785D-7898-4136-9C3C-29BDBA88256F}" type="pres">
      <dgm:prSet presAssocID="{E2E23B5C-04E9-4457-A937-E9E5544A43C5}" presName="childNode" presStyleLbl="node1" presStyleIdx="1" presStyleCnt="14">
        <dgm:presLayoutVars>
          <dgm:bulletEnabled val="1"/>
        </dgm:presLayoutVars>
      </dgm:prSet>
      <dgm:spPr/>
      <dgm:t>
        <a:bodyPr/>
        <a:lstStyle/>
        <a:p>
          <a:endParaRPr lang="en-US"/>
        </a:p>
      </dgm:t>
    </dgm:pt>
    <dgm:pt modelId="{EB823D04-D703-476B-A9DD-0B8BD9AE3B9D}" type="pres">
      <dgm:prSet presAssocID="{E2E23B5C-04E9-4457-A937-E9E5544A43C5}" presName="aSpace2" presStyleCnt="0"/>
      <dgm:spPr/>
    </dgm:pt>
    <dgm:pt modelId="{8C526EE3-A95F-4955-913A-0BB8C79019AC}" type="pres">
      <dgm:prSet presAssocID="{1FD09D2E-2A74-4CD8-8429-414EE7BF54B9}" presName="childNode" presStyleLbl="node1" presStyleIdx="2" presStyleCnt="14">
        <dgm:presLayoutVars>
          <dgm:bulletEnabled val="1"/>
        </dgm:presLayoutVars>
      </dgm:prSet>
      <dgm:spPr/>
      <dgm:t>
        <a:bodyPr/>
        <a:lstStyle/>
        <a:p>
          <a:endParaRPr lang="en-US"/>
        </a:p>
      </dgm:t>
    </dgm:pt>
    <dgm:pt modelId="{B2655502-CB48-448A-89E9-D93DD907E256}" type="pres">
      <dgm:prSet presAssocID="{1FD09D2E-2A74-4CD8-8429-414EE7BF54B9}" presName="aSpace2" presStyleCnt="0"/>
      <dgm:spPr/>
    </dgm:pt>
    <dgm:pt modelId="{395E55E1-2B86-44DF-B961-42A21CF89CB6}" type="pres">
      <dgm:prSet presAssocID="{834896FD-658C-4F57-8953-0DCAA55ABA70}" presName="childNode" presStyleLbl="node1" presStyleIdx="3" presStyleCnt="14">
        <dgm:presLayoutVars>
          <dgm:bulletEnabled val="1"/>
        </dgm:presLayoutVars>
      </dgm:prSet>
      <dgm:spPr/>
      <dgm:t>
        <a:bodyPr/>
        <a:lstStyle/>
        <a:p>
          <a:endParaRPr lang="en-US"/>
        </a:p>
      </dgm:t>
    </dgm:pt>
    <dgm:pt modelId="{76644ACF-B294-44AF-91F2-B6096C5254C6}" type="pres">
      <dgm:prSet presAssocID="{834896FD-658C-4F57-8953-0DCAA55ABA70}" presName="aSpace2" presStyleCnt="0"/>
      <dgm:spPr/>
    </dgm:pt>
    <dgm:pt modelId="{1B046E3D-810F-4186-90D8-C13895CA63FC}" type="pres">
      <dgm:prSet presAssocID="{7324F91D-2FE5-46D5-8548-240178176D6B}" presName="childNode" presStyleLbl="node1" presStyleIdx="4" presStyleCnt="14">
        <dgm:presLayoutVars>
          <dgm:bulletEnabled val="1"/>
        </dgm:presLayoutVars>
      </dgm:prSet>
      <dgm:spPr/>
      <dgm:t>
        <a:bodyPr/>
        <a:lstStyle/>
        <a:p>
          <a:endParaRPr lang="en-US"/>
        </a:p>
      </dgm:t>
    </dgm:pt>
    <dgm:pt modelId="{0DE0D5D9-73AC-470F-BFED-3ABFB519124E}" type="pres">
      <dgm:prSet presAssocID="{BFC5A5B4-D0E0-4ECC-99AF-268E7C080115}" presName="aSpace" presStyleCnt="0"/>
      <dgm:spPr/>
    </dgm:pt>
    <dgm:pt modelId="{E46C7F0D-39CC-48E0-88ED-A29E6D987DC9}" type="pres">
      <dgm:prSet presAssocID="{4D8A4AE3-5B9E-4D50-A2A0-EBEC2959D23B}" presName="compNode" presStyleCnt="0"/>
      <dgm:spPr/>
    </dgm:pt>
    <dgm:pt modelId="{D773D787-7E45-4E1C-9F10-92001C1852F8}" type="pres">
      <dgm:prSet presAssocID="{4D8A4AE3-5B9E-4D50-A2A0-EBEC2959D23B}" presName="aNode" presStyleLbl="bgShp" presStyleIdx="1" presStyleCnt="3" custScaleX="88828"/>
      <dgm:spPr/>
      <dgm:t>
        <a:bodyPr/>
        <a:lstStyle/>
        <a:p>
          <a:endParaRPr lang="en-US"/>
        </a:p>
      </dgm:t>
    </dgm:pt>
    <dgm:pt modelId="{9CD1D938-E3A8-4C34-997A-5BAA90D06599}" type="pres">
      <dgm:prSet presAssocID="{4D8A4AE3-5B9E-4D50-A2A0-EBEC2959D23B}" presName="textNode" presStyleLbl="bgShp" presStyleIdx="1" presStyleCnt="3"/>
      <dgm:spPr/>
      <dgm:t>
        <a:bodyPr/>
        <a:lstStyle/>
        <a:p>
          <a:endParaRPr lang="en-US"/>
        </a:p>
      </dgm:t>
    </dgm:pt>
    <dgm:pt modelId="{2DB609B6-AAD7-40E7-9CF6-64E40A1A3248}" type="pres">
      <dgm:prSet presAssocID="{4D8A4AE3-5B9E-4D50-A2A0-EBEC2959D23B}" presName="compChildNode" presStyleCnt="0"/>
      <dgm:spPr/>
    </dgm:pt>
    <dgm:pt modelId="{20391FCE-AB44-4C53-9055-A995D39890DC}" type="pres">
      <dgm:prSet presAssocID="{4D8A4AE3-5B9E-4D50-A2A0-EBEC2959D23B}" presName="theInnerList" presStyleCnt="0"/>
      <dgm:spPr/>
    </dgm:pt>
    <dgm:pt modelId="{669205AC-36E5-4245-B13C-579C1992446A}" type="pres">
      <dgm:prSet presAssocID="{3DBD36B3-895B-4945-995F-347340854CA7}" presName="childNode" presStyleLbl="node1" presStyleIdx="5" presStyleCnt="14">
        <dgm:presLayoutVars>
          <dgm:bulletEnabled val="1"/>
        </dgm:presLayoutVars>
      </dgm:prSet>
      <dgm:spPr/>
      <dgm:t>
        <a:bodyPr/>
        <a:lstStyle/>
        <a:p>
          <a:endParaRPr lang="en-US"/>
        </a:p>
      </dgm:t>
    </dgm:pt>
    <dgm:pt modelId="{548DC518-5A30-41AC-9F7C-023CBE67C314}" type="pres">
      <dgm:prSet presAssocID="{3DBD36B3-895B-4945-995F-347340854CA7}" presName="aSpace2" presStyleCnt="0"/>
      <dgm:spPr/>
    </dgm:pt>
    <dgm:pt modelId="{305A4F42-96AB-4DD6-AEAF-5D992822631D}" type="pres">
      <dgm:prSet presAssocID="{0D403033-9A52-4066-B954-ABB25CA8122D}" presName="childNode" presStyleLbl="node1" presStyleIdx="6" presStyleCnt="14">
        <dgm:presLayoutVars>
          <dgm:bulletEnabled val="1"/>
        </dgm:presLayoutVars>
      </dgm:prSet>
      <dgm:spPr/>
      <dgm:t>
        <a:bodyPr/>
        <a:lstStyle/>
        <a:p>
          <a:endParaRPr lang="en-US"/>
        </a:p>
      </dgm:t>
    </dgm:pt>
    <dgm:pt modelId="{A8623FCC-871B-4614-A5F1-3A0C94510B60}" type="pres">
      <dgm:prSet presAssocID="{0D403033-9A52-4066-B954-ABB25CA8122D}" presName="aSpace2" presStyleCnt="0"/>
      <dgm:spPr/>
    </dgm:pt>
    <dgm:pt modelId="{ECBE8675-1CA0-453B-A8BB-AF50C4FA67B4}" type="pres">
      <dgm:prSet presAssocID="{59BB90BB-7A91-44D8-8F1B-20C8FEA4F184}" presName="childNode" presStyleLbl="node1" presStyleIdx="7" presStyleCnt="14">
        <dgm:presLayoutVars>
          <dgm:bulletEnabled val="1"/>
        </dgm:presLayoutVars>
      </dgm:prSet>
      <dgm:spPr/>
      <dgm:t>
        <a:bodyPr/>
        <a:lstStyle/>
        <a:p>
          <a:endParaRPr lang="en-US"/>
        </a:p>
      </dgm:t>
    </dgm:pt>
    <dgm:pt modelId="{84C21C44-17FA-4AEC-8BF2-7C188A59C84F}" type="pres">
      <dgm:prSet presAssocID="{59BB90BB-7A91-44D8-8F1B-20C8FEA4F184}" presName="aSpace2" presStyleCnt="0"/>
      <dgm:spPr/>
    </dgm:pt>
    <dgm:pt modelId="{92E0D6B9-2D63-4827-98C6-12123F3FA6E5}" type="pres">
      <dgm:prSet presAssocID="{D2B067F4-28AD-4FC1-A7BC-B73BCE1FB58D}" presName="childNode" presStyleLbl="node1" presStyleIdx="8" presStyleCnt="14">
        <dgm:presLayoutVars>
          <dgm:bulletEnabled val="1"/>
        </dgm:presLayoutVars>
      </dgm:prSet>
      <dgm:spPr/>
      <dgm:t>
        <a:bodyPr/>
        <a:lstStyle/>
        <a:p>
          <a:endParaRPr lang="en-US"/>
        </a:p>
      </dgm:t>
    </dgm:pt>
    <dgm:pt modelId="{761C95BC-F9EC-4068-B2BE-F8C195CAC56B}" type="pres">
      <dgm:prSet presAssocID="{D2B067F4-28AD-4FC1-A7BC-B73BCE1FB58D}" presName="aSpace2" presStyleCnt="0"/>
      <dgm:spPr/>
    </dgm:pt>
    <dgm:pt modelId="{797E4662-144D-471E-B289-609F1209C52F}" type="pres">
      <dgm:prSet presAssocID="{775D0B3C-97B1-4247-A620-34384AA3AFED}" presName="childNode" presStyleLbl="node1" presStyleIdx="9" presStyleCnt="14">
        <dgm:presLayoutVars>
          <dgm:bulletEnabled val="1"/>
        </dgm:presLayoutVars>
      </dgm:prSet>
      <dgm:spPr/>
      <dgm:t>
        <a:bodyPr/>
        <a:lstStyle/>
        <a:p>
          <a:endParaRPr lang="en-US"/>
        </a:p>
      </dgm:t>
    </dgm:pt>
    <dgm:pt modelId="{E5393DD6-EFFD-404F-8C78-680C8F0B9AEE}" type="pres">
      <dgm:prSet presAssocID="{775D0B3C-97B1-4247-A620-34384AA3AFED}" presName="aSpace2" presStyleCnt="0"/>
      <dgm:spPr/>
    </dgm:pt>
    <dgm:pt modelId="{6DE0C4C3-BFAA-4B3F-83A5-6BEAF7F1ACE9}" type="pres">
      <dgm:prSet presAssocID="{CAD4F60A-FDD7-4568-A139-1AB0068D16B8}" presName="childNode" presStyleLbl="node1" presStyleIdx="10" presStyleCnt="14">
        <dgm:presLayoutVars>
          <dgm:bulletEnabled val="1"/>
        </dgm:presLayoutVars>
      </dgm:prSet>
      <dgm:spPr/>
      <dgm:t>
        <a:bodyPr/>
        <a:lstStyle/>
        <a:p>
          <a:endParaRPr lang="en-US"/>
        </a:p>
      </dgm:t>
    </dgm:pt>
    <dgm:pt modelId="{99F1325C-97D8-4C3E-A1E7-94F3611CD364}" type="pres">
      <dgm:prSet presAssocID="{4D8A4AE3-5B9E-4D50-A2A0-EBEC2959D23B}" presName="aSpace" presStyleCnt="0"/>
      <dgm:spPr/>
    </dgm:pt>
    <dgm:pt modelId="{25D4D6FE-8E6E-48D9-9BD8-22E383337B62}" type="pres">
      <dgm:prSet presAssocID="{AE24C239-1508-4755-819F-5E87AEBD125C}" presName="compNode" presStyleCnt="0"/>
      <dgm:spPr/>
    </dgm:pt>
    <dgm:pt modelId="{B8D19E46-DDAD-457F-B901-635613BDBDE7}" type="pres">
      <dgm:prSet presAssocID="{AE24C239-1508-4755-819F-5E87AEBD125C}" presName="aNode" presStyleLbl="bgShp" presStyleIdx="2" presStyleCnt="3"/>
      <dgm:spPr/>
      <dgm:t>
        <a:bodyPr/>
        <a:lstStyle/>
        <a:p>
          <a:endParaRPr lang="en-US"/>
        </a:p>
      </dgm:t>
    </dgm:pt>
    <dgm:pt modelId="{989A6AC2-34F0-47CC-A7A7-C76DA802E46E}" type="pres">
      <dgm:prSet presAssocID="{AE24C239-1508-4755-819F-5E87AEBD125C}" presName="textNode" presStyleLbl="bgShp" presStyleIdx="2" presStyleCnt="3"/>
      <dgm:spPr/>
      <dgm:t>
        <a:bodyPr/>
        <a:lstStyle/>
        <a:p>
          <a:endParaRPr lang="en-US"/>
        </a:p>
      </dgm:t>
    </dgm:pt>
    <dgm:pt modelId="{EA2FCDB2-B582-4ED0-9C0A-CDBA6489A2DA}" type="pres">
      <dgm:prSet presAssocID="{AE24C239-1508-4755-819F-5E87AEBD125C}" presName="compChildNode" presStyleCnt="0"/>
      <dgm:spPr/>
    </dgm:pt>
    <dgm:pt modelId="{B320C3C0-6613-419B-8005-A3A1B947C99F}" type="pres">
      <dgm:prSet presAssocID="{AE24C239-1508-4755-819F-5E87AEBD125C}" presName="theInnerList" presStyleCnt="0"/>
      <dgm:spPr/>
    </dgm:pt>
    <dgm:pt modelId="{C01DE590-6A8A-4527-B96E-6497372523A9}" type="pres">
      <dgm:prSet presAssocID="{D7C1734D-898B-4F62-9B56-8AC4654F72B8}" presName="childNode" presStyleLbl="node1" presStyleIdx="11" presStyleCnt="14">
        <dgm:presLayoutVars>
          <dgm:bulletEnabled val="1"/>
        </dgm:presLayoutVars>
      </dgm:prSet>
      <dgm:spPr/>
      <dgm:t>
        <a:bodyPr/>
        <a:lstStyle/>
        <a:p>
          <a:endParaRPr lang="en-US"/>
        </a:p>
      </dgm:t>
    </dgm:pt>
    <dgm:pt modelId="{7BCCECE1-331F-4737-880C-C285A7841458}" type="pres">
      <dgm:prSet presAssocID="{D7C1734D-898B-4F62-9B56-8AC4654F72B8}" presName="aSpace2" presStyleCnt="0"/>
      <dgm:spPr/>
    </dgm:pt>
    <dgm:pt modelId="{08B45FD9-1755-4A74-B46B-19EE017DF072}" type="pres">
      <dgm:prSet presAssocID="{8AFF3F67-ECD1-44A3-886F-793B64212692}" presName="childNode" presStyleLbl="node1" presStyleIdx="12" presStyleCnt="14">
        <dgm:presLayoutVars>
          <dgm:bulletEnabled val="1"/>
        </dgm:presLayoutVars>
      </dgm:prSet>
      <dgm:spPr/>
      <dgm:t>
        <a:bodyPr/>
        <a:lstStyle/>
        <a:p>
          <a:endParaRPr lang="en-US"/>
        </a:p>
      </dgm:t>
    </dgm:pt>
    <dgm:pt modelId="{87337FD3-5070-46F5-AF09-55B4F998DBC6}" type="pres">
      <dgm:prSet presAssocID="{8AFF3F67-ECD1-44A3-886F-793B64212692}" presName="aSpace2" presStyleCnt="0"/>
      <dgm:spPr/>
    </dgm:pt>
    <dgm:pt modelId="{85BABF7C-9F66-48CA-919E-614DC241976D}" type="pres">
      <dgm:prSet presAssocID="{C24D6F58-2CC8-4FE3-A59E-63944EC32571}" presName="childNode" presStyleLbl="node1" presStyleIdx="13" presStyleCnt="14">
        <dgm:presLayoutVars>
          <dgm:bulletEnabled val="1"/>
        </dgm:presLayoutVars>
      </dgm:prSet>
      <dgm:spPr/>
      <dgm:t>
        <a:bodyPr/>
        <a:lstStyle/>
        <a:p>
          <a:endParaRPr lang="en-US"/>
        </a:p>
      </dgm:t>
    </dgm:pt>
  </dgm:ptLst>
  <dgm:cxnLst>
    <dgm:cxn modelId="{1CA61D30-B3F2-417D-9694-6DF124C41202}" type="presOf" srcId="{1FD09D2E-2A74-4CD8-8429-414EE7BF54B9}" destId="{8C526EE3-A95F-4955-913A-0BB8C79019AC}" srcOrd="0" destOrd="0" presId="urn:microsoft.com/office/officeart/2005/8/layout/lProcess2"/>
    <dgm:cxn modelId="{01F8AD15-C955-4979-9F2F-304B42CDE6AB}" type="presOf" srcId="{4D8A4AE3-5B9E-4D50-A2A0-EBEC2959D23B}" destId="{D773D787-7E45-4E1C-9F10-92001C1852F8}" srcOrd="0" destOrd="0" presId="urn:microsoft.com/office/officeart/2005/8/layout/lProcess2"/>
    <dgm:cxn modelId="{DF60A27A-0377-42CA-85D3-2E91F723FAFA}" type="presOf" srcId="{8AFF3F67-ECD1-44A3-886F-793B64212692}" destId="{08B45FD9-1755-4A74-B46B-19EE017DF072}" srcOrd="0" destOrd="0" presId="urn:microsoft.com/office/officeart/2005/8/layout/lProcess2"/>
    <dgm:cxn modelId="{67AF5D13-C9E4-445E-96A5-0D26CC0876D8}" type="presOf" srcId="{E2E23B5C-04E9-4457-A937-E9E5544A43C5}" destId="{E696785D-7898-4136-9C3C-29BDBA88256F}" srcOrd="0" destOrd="0" presId="urn:microsoft.com/office/officeart/2005/8/layout/lProcess2"/>
    <dgm:cxn modelId="{F0F11A73-819C-4091-AA0E-CFE1FFC8B6F8}" srcId="{AE24C239-1508-4755-819F-5E87AEBD125C}" destId="{D7C1734D-898B-4F62-9B56-8AC4654F72B8}" srcOrd="0" destOrd="0" parTransId="{38DC338E-5C6A-41B7-8DAE-627D2412ACD9}" sibTransId="{29578650-2402-4715-8F29-C1B1DE6255C2}"/>
    <dgm:cxn modelId="{A63990AD-68D1-4A0D-81BB-A3B8D7DCF884}" type="presOf" srcId="{CAD4F60A-FDD7-4568-A139-1AB0068D16B8}" destId="{6DE0C4C3-BFAA-4B3F-83A5-6BEAF7F1ACE9}" srcOrd="0" destOrd="0" presId="urn:microsoft.com/office/officeart/2005/8/layout/lProcess2"/>
    <dgm:cxn modelId="{82BD1AAA-2C1E-469D-A3B5-DAC8B1C5756C}" type="presOf" srcId="{B3E86F40-CD15-420F-A26C-2F7E1CA06E99}" destId="{B01F5F53-8BEA-4E74-8C87-6E14B320FA8D}" srcOrd="0" destOrd="0" presId="urn:microsoft.com/office/officeart/2005/8/layout/lProcess2"/>
    <dgm:cxn modelId="{805E7922-B28C-4137-B30F-209273A35F09}" srcId="{AE24C239-1508-4755-819F-5E87AEBD125C}" destId="{C24D6F58-2CC8-4FE3-A59E-63944EC32571}" srcOrd="2" destOrd="0" parTransId="{AB532D39-D17A-4DCF-94D7-155268EBD95B}" sibTransId="{E1CFD291-55DC-4D90-ADF0-B50F0F3CAD33}"/>
    <dgm:cxn modelId="{D92EADAF-6D65-420A-AD71-1CA9C55BDBB3}" srcId="{BFC5A5B4-D0E0-4ECC-99AF-268E7C080115}" destId="{B3E86F40-CD15-420F-A26C-2F7E1CA06E99}" srcOrd="0" destOrd="0" parTransId="{DED3416C-1F18-45A7-ABB8-10D05D56C993}" sibTransId="{66390D37-1F65-4B19-B83B-C0A56F6D2D4D}"/>
    <dgm:cxn modelId="{7EC020A4-9155-4C6C-A580-A1E6826945D0}" type="presOf" srcId="{834896FD-658C-4F57-8953-0DCAA55ABA70}" destId="{395E55E1-2B86-44DF-B961-42A21CF89CB6}" srcOrd="0" destOrd="0" presId="urn:microsoft.com/office/officeart/2005/8/layout/lProcess2"/>
    <dgm:cxn modelId="{98036831-9DC4-4B81-AE7F-6A11B8F8E13A}" type="presOf" srcId="{D7C1734D-898B-4F62-9B56-8AC4654F72B8}" destId="{C01DE590-6A8A-4527-B96E-6497372523A9}" srcOrd="0" destOrd="0" presId="urn:microsoft.com/office/officeart/2005/8/layout/lProcess2"/>
    <dgm:cxn modelId="{3F029BA5-D398-4401-B8B3-9A6A472394E6}" type="presOf" srcId="{AE24C239-1508-4755-819F-5E87AEBD125C}" destId="{B8D19E46-DDAD-457F-B901-635613BDBDE7}" srcOrd="0" destOrd="0" presId="urn:microsoft.com/office/officeart/2005/8/layout/lProcess2"/>
    <dgm:cxn modelId="{962B8823-EFD7-425E-A60E-A1A3DD23938B}" srcId="{4D8A4AE3-5B9E-4D50-A2A0-EBEC2959D23B}" destId="{CAD4F60A-FDD7-4568-A139-1AB0068D16B8}" srcOrd="5" destOrd="0" parTransId="{B3AA4C8B-B952-464B-9B77-1C1923B9604B}" sibTransId="{D8CFEDFA-0D93-464B-8AFD-83EEEFF70468}"/>
    <dgm:cxn modelId="{4F93FDDD-4512-4735-95DF-F051A118C884}" srcId="{BFC5A5B4-D0E0-4ECC-99AF-268E7C080115}" destId="{7324F91D-2FE5-46D5-8548-240178176D6B}" srcOrd="4" destOrd="0" parTransId="{B297E42D-386E-4A96-92A0-46965A0FD369}" sibTransId="{72665912-FE75-4851-9170-5AF1B5E42D0F}"/>
    <dgm:cxn modelId="{1AD9736C-6F57-4695-95F4-EA137E61C717}" type="presOf" srcId="{D2B067F4-28AD-4FC1-A7BC-B73BCE1FB58D}" destId="{92E0D6B9-2D63-4827-98C6-12123F3FA6E5}" srcOrd="0" destOrd="0" presId="urn:microsoft.com/office/officeart/2005/8/layout/lProcess2"/>
    <dgm:cxn modelId="{464930EC-C79B-45B4-8AA2-C69AEA489782}" srcId="{4D8A4AE3-5B9E-4D50-A2A0-EBEC2959D23B}" destId="{0D403033-9A52-4066-B954-ABB25CA8122D}" srcOrd="1" destOrd="0" parTransId="{F04EE9FB-5BBA-4D9E-BD96-7D1978B6BB6C}" sibTransId="{0AEA35D2-2CCC-4DE5-9C7B-6D1C8841F730}"/>
    <dgm:cxn modelId="{1518C54C-1C5F-4CAB-82BC-CE04C068DB4B}" srcId="{4D8A4AE3-5B9E-4D50-A2A0-EBEC2959D23B}" destId="{775D0B3C-97B1-4247-A620-34384AA3AFED}" srcOrd="4" destOrd="0" parTransId="{9A180D2E-DEEF-49C8-8973-2094E4F186DA}" sibTransId="{DEE20D9E-F03B-4BF0-8E9B-03338C202422}"/>
    <dgm:cxn modelId="{C9E684E1-77D2-4B19-A0F9-C33AFDB5DF2B}" type="presOf" srcId="{C24D6F58-2CC8-4FE3-A59E-63944EC32571}" destId="{85BABF7C-9F66-48CA-919E-614DC241976D}" srcOrd="0" destOrd="0" presId="urn:microsoft.com/office/officeart/2005/8/layout/lProcess2"/>
    <dgm:cxn modelId="{1993326B-2FCC-4074-B88C-B110037E74B8}" type="presOf" srcId="{3DBD36B3-895B-4945-995F-347340854CA7}" destId="{669205AC-36E5-4245-B13C-579C1992446A}" srcOrd="0" destOrd="0" presId="urn:microsoft.com/office/officeart/2005/8/layout/lProcess2"/>
    <dgm:cxn modelId="{66B164E7-2BC7-4D1B-9D77-8BE8501F6011}" srcId="{4D8A4AE3-5B9E-4D50-A2A0-EBEC2959D23B}" destId="{D2B067F4-28AD-4FC1-A7BC-B73BCE1FB58D}" srcOrd="3" destOrd="0" parTransId="{EC1BB703-7EFC-42C7-A99F-B1162E68B89A}" sibTransId="{C0D88EB0-3C6F-4021-A8A1-F0EB13C6B72F}"/>
    <dgm:cxn modelId="{FA4F2F54-394B-4A67-B426-A0FD7BC7AADE}" type="presOf" srcId="{0D403033-9A52-4066-B954-ABB25CA8122D}" destId="{305A4F42-96AB-4DD6-AEAF-5D992822631D}" srcOrd="0" destOrd="0" presId="urn:microsoft.com/office/officeart/2005/8/layout/lProcess2"/>
    <dgm:cxn modelId="{BF67574A-5ED4-4FD1-A538-90ABC7224759}" type="presOf" srcId="{4D8A4AE3-5B9E-4D50-A2A0-EBEC2959D23B}" destId="{9CD1D938-E3A8-4C34-997A-5BAA90D06599}" srcOrd="1" destOrd="0" presId="urn:microsoft.com/office/officeart/2005/8/layout/lProcess2"/>
    <dgm:cxn modelId="{86586A69-C2FE-4527-B806-E52F0FFF2033}" srcId="{B592D9B2-D44F-4562-B3F6-85BB097F55C2}" destId="{4D8A4AE3-5B9E-4D50-A2A0-EBEC2959D23B}" srcOrd="1" destOrd="0" parTransId="{7D66E326-DAA3-41D5-A1C5-BA95E23446C0}" sibTransId="{ED927EE5-1F16-4664-B987-03324CE1DE73}"/>
    <dgm:cxn modelId="{A3E5CACF-6D70-4199-85D5-9B405C247555}" srcId="{4D8A4AE3-5B9E-4D50-A2A0-EBEC2959D23B}" destId="{59BB90BB-7A91-44D8-8F1B-20C8FEA4F184}" srcOrd="2" destOrd="0" parTransId="{73181A04-D028-4586-9D35-601FF2E0115C}" sibTransId="{CC534DB0-85AC-4216-8D01-9381B99FA27D}"/>
    <dgm:cxn modelId="{9EAAB133-963B-4A5F-8399-C2A6F7E7D865}" type="presOf" srcId="{BFC5A5B4-D0E0-4ECC-99AF-268E7C080115}" destId="{F5BEC532-5C5C-4ACC-85F9-FB8F45D740E7}" srcOrd="1" destOrd="0" presId="urn:microsoft.com/office/officeart/2005/8/layout/lProcess2"/>
    <dgm:cxn modelId="{9085C025-E678-4646-BB35-1408A583077D}" srcId="{4D8A4AE3-5B9E-4D50-A2A0-EBEC2959D23B}" destId="{3DBD36B3-895B-4945-995F-347340854CA7}" srcOrd="0" destOrd="0" parTransId="{23C6C05B-73DA-4050-BA90-C5F722A99B80}" sibTransId="{D03A9EC0-62BC-4884-923A-1C45567F53F4}"/>
    <dgm:cxn modelId="{6D23537C-B4BD-4FF5-A2CC-C97235B3C35F}" srcId="{AE24C239-1508-4755-819F-5E87AEBD125C}" destId="{8AFF3F67-ECD1-44A3-886F-793B64212692}" srcOrd="1" destOrd="0" parTransId="{F6BEE6D4-A300-4109-A9D7-3C7CFF775CBB}" sibTransId="{71BCBD98-F085-4966-B5D0-9AEBE88CEF3D}"/>
    <dgm:cxn modelId="{DA64625C-C6E3-4242-8261-2C433CB9AABF}" srcId="{B592D9B2-D44F-4562-B3F6-85BB097F55C2}" destId="{AE24C239-1508-4755-819F-5E87AEBD125C}" srcOrd="2" destOrd="0" parTransId="{0B3BECE6-21FA-4789-BE69-C90ACF0A98A8}" sibTransId="{4F752E05-CB6A-4506-8A06-09912BD739E9}"/>
    <dgm:cxn modelId="{1E8496EE-203C-41FE-870D-23B3C3B432C8}" srcId="{B592D9B2-D44F-4562-B3F6-85BB097F55C2}" destId="{BFC5A5B4-D0E0-4ECC-99AF-268E7C080115}" srcOrd="0" destOrd="0" parTransId="{C1CEA269-8B8E-4F7B-A4F4-BA18391E6C66}" sibTransId="{546429B6-16A9-4B84-A81D-2F5F44AB1BD6}"/>
    <dgm:cxn modelId="{271E013F-B5F4-42F2-AD48-2D8768D49ACE}" type="presOf" srcId="{59BB90BB-7A91-44D8-8F1B-20C8FEA4F184}" destId="{ECBE8675-1CA0-453B-A8BB-AF50C4FA67B4}" srcOrd="0" destOrd="0" presId="urn:microsoft.com/office/officeart/2005/8/layout/lProcess2"/>
    <dgm:cxn modelId="{21549C01-613F-4DF7-9B30-F8292D9F8500}" srcId="{BFC5A5B4-D0E0-4ECC-99AF-268E7C080115}" destId="{834896FD-658C-4F57-8953-0DCAA55ABA70}" srcOrd="3" destOrd="0" parTransId="{EBD667CB-E7B3-421A-AD89-F2C591673D74}" sibTransId="{A59FBF97-57D9-4ED2-BCC2-08FE5440BC69}"/>
    <dgm:cxn modelId="{24A26B13-97EE-424C-850E-FC5030A82ACE}" type="presOf" srcId="{B592D9B2-D44F-4562-B3F6-85BB097F55C2}" destId="{BFD9EC66-7E1E-4820-8143-4C8C648D0EDB}" srcOrd="0" destOrd="0" presId="urn:microsoft.com/office/officeart/2005/8/layout/lProcess2"/>
    <dgm:cxn modelId="{E3E42A75-8FB9-4AD8-ADA6-5E5810EFB668}" type="presOf" srcId="{7324F91D-2FE5-46D5-8548-240178176D6B}" destId="{1B046E3D-810F-4186-90D8-C13895CA63FC}" srcOrd="0" destOrd="0" presId="urn:microsoft.com/office/officeart/2005/8/layout/lProcess2"/>
    <dgm:cxn modelId="{5320C769-2CD1-4009-B0A0-69FBA55BB7E4}" type="presOf" srcId="{AE24C239-1508-4755-819F-5E87AEBD125C}" destId="{989A6AC2-34F0-47CC-A7A7-C76DA802E46E}" srcOrd="1" destOrd="0" presId="urn:microsoft.com/office/officeart/2005/8/layout/lProcess2"/>
    <dgm:cxn modelId="{F3E17D35-2FF8-4ED5-A0CE-B15DE1FFCE1C}" srcId="{BFC5A5B4-D0E0-4ECC-99AF-268E7C080115}" destId="{E2E23B5C-04E9-4457-A937-E9E5544A43C5}" srcOrd="1" destOrd="0" parTransId="{E8BBF24C-729B-4448-8579-DFB520721E9C}" sibTransId="{1AAA12CD-9853-42D1-B361-DCB069F1C8AE}"/>
    <dgm:cxn modelId="{8A67BA74-2DC4-47AA-86CA-0F0BCEFA63CE}" srcId="{BFC5A5B4-D0E0-4ECC-99AF-268E7C080115}" destId="{1FD09D2E-2A74-4CD8-8429-414EE7BF54B9}" srcOrd="2" destOrd="0" parTransId="{030A6A70-0533-4328-AD04-C2E004A32CC0}" sibTransId="{22261017-F9CA-455E-94F9-BF39C9DEED39}"/>
    <dgm:cxn modelId="{C70ECDC3-3387-43E0-94F8-E481A9679BF5}" type="presOf" srcId="{775D0B3C-97B1-4247-A620-34384AA3AFED}" destId="{797E4662-144D-471E-B289-609F1209C52F}" srcOrd="0" destOrd="0" presId="urn:microsoft.com/office/officeart/2005/8/layout/lProcess2"/>
    <dgm:cxn modelId="{96F60C03-3A09-4A4F-AC77-F7341540ABD9}" type="presOf" srcId="{BFC5A5B4-D0E0-4ECC-99AF-268E7C080115}" destId="{E3CF6BE0-7E62-4AA4-A92C-A5129AA56180}" srcOrd="0" destOrd="0" presId="urn:microsoft.com/office/officeart/2005/8/layout/lProcess2"/>
    <dgm:cxn modelId="{8E917F9E-9A2B-4E30-863A-702EAA1D27D3}" type="presParOf" srcId="{BFD9EC66-7E1E-4820-8143-4C8C648D0EDB}" destId="{70040366-AC5E-4F84-8C3F-4BEEC2FF5248}" srcOrd="0" destOrd="0" presId="urn:microsoft.com/office/officeart/2005/8/layout/lProcess2"/>
    <dgm:cxn modelId="{47FB2A5F-C367-4709-9674-B70FA23ADCA0}" type="presParOf" srcId="{70040366-AC5E-4F84-8C3F-4BEEC2FF5248}" destId="{E3CF6BE0-7E62-4AA4-A92C-A5129AA56180}" srcOrd="0" destOrd="0" presId="urn:microsoft.com/office/officeart/2005/8/layout/lProcess2"/>
    <dgm:cxn modelId="{F1A8AF44-57E9-49A3-B3AB-5C0845652A87}" type="presParOf" srcId="{70040366-AC5E-4F84-8C3F-4BEEC2FF5248}" destId="{F5BEC532-5C5C-4ACC-85F9-FB8F45D740E7}" srcOrd="1" destOrd="0" presId="urn:microsoft.com/office/officeart/2005/8/layout/lProcess2"/>
    <dgm:cxn modelId="{4BEB5D78-4C40-42B4-9F22-819AC69F6B22}" type="presParOf" srcId="{70040366-AC5E-4F84-8C3F-4BEEC2FF5248}" destId="{F048DCBF-3A4A-4DD7-84FE-45DF2C77013E}" srcOrd="2" destOrd="0" presId="urn:microsoft.com/office/officeart/2005/8/layout/lProcess2"/>
    <dgm:cxn modelId="{71880657-AED1-4CF9-86B9-FC4A54C591C3}" type="presParOf" srcId="{F048DCBF-3A4A-4DD7-84FE-45DF2C77013E}" destId="{AB68AA8A-5BE2-4ED6-AB57-60499023DFB5}" srcOrd="0" destOrd="0" presId="urn:microsoft.com/office/officeart/2005/8/layout/lProcess2"/>
    <dgm:cxn modelId="{9E45E3AD-5A8E-4F46-873E-B70382E33BE4}" type="presParOf" srcId="{AB68AA8A-5BE2-4ED6-AB57-60499023DFB5}" destId="{B01F5F53-8BEA-4E74-8C87-6E14B320FA8D}" srcOrd="0" destOrd="0" presId="urn:microsoft.com/office/officeart/2005/8/layout/lProcess2"/>
    <dgm:cxn modelId="{09193F5A-9D9B-4378-953F-51E946A934F1}" type="presParOf" srcId="{AB68AA8A-5BE2-4ED6-AB57-60499023DFB5}" destId="{DFBB0A4C-A5D5-45D8-B406-82BC30D9D760}" srcOrd="1" destOrd="0" presId="urn:microsoft.com/office/officeart/2005/8/layout/lProcess2"/>
    <dgm:cxn modelId="{1C40D01C-A0C7-4A92-BD1F-407360258896}" type="presParOf" srcId="{AB68AA8A-5BE2-4ED6-AB57-60499023DFB5}" destId="{E696785D-7898-4136-9C3C-29BDBA88256F}" srcOrd="2" destOrd="0" presId="urn:microsoft.com/office/officeart/2005/8/layout/lProcess2"/>
    <dgm:cxn modelId="{D56353C3-DA22-4661-8E6C-E2DA2261B92B}" type="presParOf" srcId="{AB68AA8A-5BE2-4ED6-AB57-60499023DFB5}" destId="{EB823D04-D703-476B-A9DD-0B8BD9AE3B9D}" srcOrd="3" destOrd="0" presId="urn:microsoft.com/office/officeart/2005/8/layout/lProcess2"/>
    <dgm:cxn modelId="{96DEEAE2-BDDD-4534-8E7B-340A7192F2F4}" type="presParOf" srcId="{AB68AA8A-5BE2-4ED6-AB57-60499023DFB5}" destId="{8C526EE3-A95F-4955-913A-0BB8C79019AC}" srcOrd="4" destOrd="0" presId="urn:microsoft.com/office/officeart/2005/8/layout/lProcess2"/>
    <dgm:cxn modelId="{B1F7041D-0F07-412D-B49F-FECA08AC5D6B}" type="presParOf" srcId="{AB68AA8A-5BE2-4ED6-AB57-60499023DFB5}" destId="{B2655502-CB48-448A-89E9-D93DD907E256}" srcOrd="5" destOrd="0" presId="urn:microsoft.com/office/officeart/2005/8/layout/lProcess2"/>
    <dgm:cxn modelId="{95F216E2-E0C7-4DE4-A72D-F1485148CBF3}" type="presParOf" srcId="{AB68AA8A-5BE2-4ED6-AB57-60499023DFB5}" destId="{395E55E1-2B86-44DF-B961-42A21CF89CB6}" srcOrd="6" destOrd="0" presId="urn:microsoft.com/office/officeart/2005/8/layout/lProcess2"/>
    <dgm:cxn modelId="{F778E353-37AD-4763-A1DA-9A6A7EF68314}" type="presParOf" srcId="{AB68AA8A-5BE2-4ED6-AB57-60499023DFB5}" destId="{76644ACF-B294-44AF-91F2-B6096C5254C6}" srcOrd="7" destOrd="0" presId="urn:microsoft.com/office/officeart/2005/8/layout/lProcess2"/>
    <dgm:cxn modelId="{BAF8733C-E1FE-4E37-8FFC-5F62FD738463}" type="presParOf" srcId="{AB68AA8A-5BE2-4ED6-AB57-60499023DFB5}" destId="{1B046E3D-810F-4186-90D8-C13895CA63FC}" srcOrd="8" destOrd="0" presId="urn:microsoft.com/office/officeart/2005/8/layout/lProcess2"/>
    <dgm:cxn modelId="{06260AC9-CA3B-4C38-A71E-296BF0A1131D}" type="presParOf" srcId="{BFD9EC66-7E1E-4820-8143-4C8C648D0EDB}" destId="{0DE0D5D9-73AC-470F-BFED-3ABFB519124E}" srcOrd="1" destOrd="0" presId="urn:microsoft.com/office/officeart/2005/8/layout/lProcess2"/>
    <dgm:cxn modelId="{E934289B-89B7-4859-BC16-FABA28D0835C}" type="presParOf" srcId="{BFD9EC66-7E1E-4820-8143-4C8C648D0EDB}" destId="{E46C7F0D-39CC-48E0-88ED-A29E6D987DC9}" srcOrd="2" destOrd="0" presId="urn:microsoft.com/office/officeart/2005/8/layout/lProcess2"/>
    <dgm:cxn modelId="{EB78B01A-64E6-4EFE-B468-5776BE51FDDB}" type="presParOf" srcId="{E46C7F0D-39CC-48E0-88ED-A29E6D987DC9}" destId="{D773D787-7E45-4E1C-9F10-92001C1852F8}" srcOrd="0" destOrd="0" presId="urn:microsoft.com/office/officeart/2005/8/layout/lProcess2"/>
    <dgm:cxn modelId="{ADA3D3CF-C73D-4780-A1E3-BF4E12EB6AFB}" type="presParOf" srcId="{E46C7F0D-39CC-48E0-88ED-A29E6D987DC9}" destId="{9CD1D938-E3A8-4C34-997A-5BAA90D06599}" srcOrd="1" destOrd="0" presId="urn:microsoft.com/office/officeart/2005/8/layout/lProcess2"/>
    <dgm:cxn modelId="{2D3B91BC-8EBA-45A3-8D82-6FFCE098F287}" type="presParOf" srcId="{E46C7F0D-39CC-48E0-88ED-A29E6D987DC9}" destId="{2DB609B6-AAD7-40E7-9CF6-64E40A1A3248}" srcOrd="2" destOrd="0" presId="urn:microsoft.com/office/officeart/2005/8/layout/lProcess2"/>
    <dgm:cxn modelId="{ECBEFB60-8F9A-43F1-B986-F2FC770DEB73}" type="presParOf" srcId="{2DB609B6-AAD7-40E7-9CF6-64E40A1A3248}" destId="{20391FCE-AB44-4C53-9055-A995D39890DC}" srcOrd="0" destOrd="0" presId="urn:microsoft.com/office/officeart/2005/8/layout/lProcess2"/>
    <dgm:cxn modelId="{B614C918-24B9-441E-ABEC-0710C5FB83E3}" type="presParOf" srcId="{20391FCE-AB44-4C53-9055-A995D39890DC}" destId="{669205AC-36E5-4245-B13C-579C1992446A}" srcOrd="0" destOrd="0" presId="urn:microsoft.com/office/officeart/2005/8/layout/lProcess2"/>
    <dgm:cxn modelId="{91170185-34D3-4251-A7B4-ECA320251633}" type="presParOf" srcId="{20391FCE-AB44-4C53-9055-A995D39890DC}" destId="{548DC518-5A30-41AC-9F7C-023CBE67C314}" srcOrd="1" destOrd="0" presId="urn:microsoft.com/office/officeart/2005/8/layout/lProcess2"/>
    <dgm:cxn modelId="{770E7D40-D5F9-44B9-B991-33846F324B85}" type="presParOf" srcId="{20391FCE-AB44-4C53-9055-A995D39890DC}" destId="{305A4F42-96AB-4DD6-AEAF-5D992822631D}" srcOrd="2" destOrd="0" presId="urn:microsoft.com/office/officeart/2005/8/layout/lProcess2"/>
    <dgm:cxn modelId="{1DA09417-FB1D-4FC7-A8A8-7383729B1945}" type="presParOf" srcId="{20391FCE-AB44-4C53-9055-A995D39890DC}" destId="{A8623FCC-871B-4614-A5F1-3A0C94510B60}" srcOrd="3" destOrd="0" presId="urn:microsoft.com/office/officeart/2005/8/layout/lProcess2"/>
    <dgm:cxn modelId="{57125129-0849-4C32-981D-95DF624489DD}" type="presParOf" srcId="{20391FCE-AB44-4C53-9055-A995D39890DC}" destId="{ECBE8675-1CA0-453B-A8BB-AF50C4FA67B4}" srcOrd="4" destOrd="0" presId="urn:microsoft.com/office/officeart/2005/8/layout/lProcess2"/>
    <dgm:cxn modelId="{A4E84E86-C213-4EDF-96DA-FB30B74650B9}" type="presParOf" srcId="{20391FCE-AB44-4C53-9055-A995D39890DC}" destId="{84C21C44-17FA-4AEC-8BF2-7C188A59C84F}" srcOrd="5" destOrd="0" presId="urn:microsoft.com/office/officeart/2005/8/layout/lProcess2"/>
    <dgm:cxn modelId="{99CCF887-B3C5-43EB-88A9-1482DA37EC50}" type="presParOf" srcId="{20391FCE-AB44-4C53-9055-A995D39890DC}" destId="{92E0D6B9-2D63-4827-98C6-12123F3FA6E5}" srcOrd="6" destOrd="0" presId="urn:microsoft.com/office/officeart/2005/8/layout/lProcess2"/>
    <dgm:cxn modelId="{3FF2521B-1149-45B3-9CFE-0C7E06EFD91E}" type="presParOf" srcId="{20391FCE-AB44-4C53-9055-A995D39890DC}" destId="{761C95BC-F9EC-4068-B2BE-F8C195CAC56B}" srcOrd="7" destOrd="0" presId="urn:microsoft.com/office/officeart/2005/8/layout/lProcess2"/>
    <dgm:cxn modelId="{8D51B8B4-6B5A-447E-A11D-2ED93A263B3A}" type="presParOf" srcId="{20391FCE-AB44-4C53-9055-A995D39890DC}" destId="{797E4662-144D-471E-B289-609F1209C52F}" srcOrd="8" destOrd="0" presId="urn:microsoft.com/office/officeart/2005/8/layout/lProcess2"/>
    <dgm:cxn modelId="{D9F42D11-8DDF-40F9-B883-FA110B0993A0}" type="presParOf" srcId="{20391FCE-AB44-4C53-9055-A995D39890DC}" destId="{E5393DD6-EFFD-404F-8C78-680C8F0B9AEE}" srcOrd="9" destOrd="0" presId="urn:microsoft.com/office/officeart/2005/8/layout/lProcess2"/>
    <dgm:cxn modelId="{5E155962-AE38-4241-9438-F4A0F42A4025}" type="presParOf" srcId="{20391FCE-AB44-4C53-9055-A995D39890DC}" destId="{6DE0C4C3-BFAA-4B3F-83A5-6BEAF7F1ACE9}" srcOrd="10" destOrd="0" presId="urn:microsoft.com/office/officeart/2005/8/layout/lProcess2"/>
    <dgm:cxn modelId="{86BEC0FC-E1B2-4B7B-9FEC-1B3A90B9AE1D}" type="presParOf" srcId="{BFD9EC66-7E1E-4820-8143-4C8C648D0EDB}" destId="{99F1325C-97D8-4C3E-A1E7-94F3611CD364}" srcOrd="3" destOrd="0" presId="urn:microsoft.com/office/officeart/2005/8/layout/lProcess2"/>
    <dgm:cxn modelId="{A68F16E9-45AD-4FE6-AE22-7BBDF8A985D1}" type="presParOf" srcId="{BFD9EC66-7E1E-4820-8143-4C8C648D0EDB}" destId="{25D4D6FE-8E6E-48D9-9BD8-22E383337B62}" srcOrd="4" destOrd="0" presId="urn:microsoft.com/office/officeart/2005/8/layout/lProcess2"/>
    <dgm:cxn modelId="{DE5836FC-BBD0-4711-AB39-EE461CBA0C3F}" type="presParOf" srcId="{25D4D6FE-8E6E-48D9-9BD8-22E383337B62}" destId="{B8D19E46-DDAD-457F-B901-635613BDBDE7}" srcOrd="0" destOrd="0" presId="urn:microsoft.com/office/officeart/2005/8/layout/lProcess2"/>
    <dgm:cxn modelId="{696C8FEE-1AFB-4CDD-B230-FC366B19C570}" type="presParOf" srcId="{25D4D6FE-8E6E-48D9-9BD8-22E383337B62}" destId="{989A6AC2-34F0-47CC-A7A7-C76DA802E46E}" srcOrd="1" destOrd="0" presId="urn:microsoft.com/office/officeart/2005/8/layout/lProcess2"/>
    <dgm:cxn modelId="{2A729B26-0624-48AB-8CD1-AFFAE59579B5}" type="presParOf" srcId="{25D4D6FE-8E6E-48D9-9BD8-22E383337B62}" destId="{EA2FCDB2-B582-4ED0-9C0A-CDBA6489A2DA}" srcOrd="2" destOrd="0" presId="urn:microsoft.com/office/officeart/2005/8/layout/lProcess2"/>
    <dgm:cxn modelId="{AAB1975E-A8EE-4D96-B523-49D697C28F5F}" type="presParOf" srcId="{EA2FCDB2-B582-4ED0-9C0A-CDBA6489A2DA}" destId="{B320C3C0-6613-419B-8005-A3A1B947C99F}" srcOrd="0" destOrd="0" presId="urn:microsoft.com/office/officeart/2005/8/layout/lProcess2"/>
    <dgm:cxn modelId="{3C5283B1-6FF7-41BA-9C3F-A1FAE672B4CE}" type="presParOf" srcId="{B320C3C0-6613-419B-8005-A3A1B947C99F}" destId="{C01DE590-6A8A-4527-B96E-6497372523A9}" srcOrd="0" destOrd="0" presId="urn:microsoft.com/office/officeart/2005/8/layout/lProcess2"/>
    <dgm:cxn modelId="{C5DF0760-6FBA-456F-8DB5-6CBF0458C1F2}" type="presParOf" srcId="{B320C3C0-6613-419B-8005-A3A1B947C99F}" destId="{7BCCECE1-331F-4737-880C-C285A7841458}" srcOrd="1" destOrd="0" presId="urn:microsoft.com/office/officeart/2005/8/layout/lProcess2"/>
    <dgm:cxn modelId="{0B867852-01B3-4392-A984-8DAC37FE79E9}" type="presParOf" srcId="{B320C3C0-6613-419B-8005-A3A1B947C99F}" destId="{08B45FD9-1755-4A74-B46B-19EE017DF072}" srcOrd="2" destOrd="0" presId="urn:microsoft.com/office/officeart/2005/8/layout/lProcess2"/>
    <dgm:cxn modelId="{7514874A-4983-4FA3-9620-AE01AD1D0BCE}" type="presParOf" srcId="{B320C3C0-6613-419B-8005-A3A1B947C99F}" destId="{87337FD3-5070-46F5-AF09-55B4F998DBC6}" srcOrd="3" destOrd="0" presId="urn:microsoft.com/office/officeart/2005/8/layout/lProcess2"/>
    <dgm:cxn modelId="{E3759EEA-9B8F-4D3C-BE15-3CADBBF719B8}" type="presParOf" srcId="{B320C3C0-6613-419B-8005-A3A1B947C99F}" destId="{85BABF7C-9F66-48CA-919E-614DC241976D}" srcOrd="4" destOrd="0" presId="urn:microsoft.com/office/officeart/2005/8/layout/lProcess2"/>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DE625CD-DBB3-4709-8DFA-7E9E846332C2}" type="doc">
      <dgm:prSet loTypeId="urn:microsoft.com/office/officeart/2005/8/layout/orgChart1" loCatId="hierarchy" qsTypeId="urn:microsoft.com/office/officeart/2005/8/quickstyle/3d3" qsCatId="3D" csTypeId="urn:microsoft.com/office/officeart/2005/8/colors/colorful1" csCatId="colorful" phldr="1"/>
      <dgm:spPr/>
      <dgm:t>
        <a:bodyPr/>
        <a:lstStyle/>
        <a:p>
          <a:endParaRPr lang="en-US"/>
        </a:p>
      </dgm:t>
    </dgm:pt>
    <dgm:pt modelId="{7D621DAF-1777-4F52-B464-21D232CCA232}">
      <dgm:prSet phldrT="[Text]" custT="1"/>
      <dgm:spPr>
        <a:solidFill>
          <a:schemeClr val="accent5">
            <a:lumMod val="40000"/>
            <a:lumOff val="60000"/>
          </a:schemeClr>
        </a:solidFill>
      </dgm:spPr>
      <dgm:t>
        <a:bodyPr/>
        <a:lstStyle/>
        <a:p>
          <a:r>
            <a:rPr lang="bs-Latn-BA" sz="1100">
              <a:solidFill>
                <a:sysClr val="windowText" lastClr="000000"/>
              </a:solidFill>
              <a:latin typeface="+mj-lt"/>
              <a:cs typeface="Times New Roman" panose="02020603050405020304" pitchFamily="18" charset="0"/>
            </a:rPr>
            <a:t>Koordinacioni odbor  </a:t>
          </a:r>
        </a:p>
        <a:p>
          <a:r>
            <a:rPr lang="bs-Latn-BA" sz="1100">
              <a:solidFill>
                <a:sysClr val="windowText" lastClr="000000"/>
              </a:solidFill>
              <a:latin typeface="+mj-lt"/>
              <a:cs typeface="Times New Roman" panose="02020603050405020304" pitchFamily="18" charset="0"/>
            </a:rPr>
            <a:t>(polu/godišnje sjednice)</a:t>
          </a:r>
          <a:endParaRPr lang="en-US" sz="1100">
            <a:solidFill>
              <a:sysClr val="windowText" lastClr="000000"/>
            </a:solidFill>
            <a:latin typeface="+mj-lt"/>
            <a:cs typeface="Times New Roman" panose="02020603050405020304" pitchFamily="18" charset="0"/>
          </a:endParaRPr>
        </a:p>
      </dgm:t>
    </dgm:pt>
    <dgm:pt modelId="{41052F07-27AD-488D-9B02-134A99647D4A}" type="parTrans" cxnId="{CFCEAA88-12C9-4F42-878B-DCD38D4135A5}">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DCA6871B-6D5A-4CB2-9A3D-B6B77EFB5C33}" type="sibTrans" cxnId="{CFCEAA88-12C9-4F42-878B-DCD38D4135A5}">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C989440E-E607-4942-B76D-353374719954}">
      <dgm:prSet phldrT="[Text]" custT="1"/>
      <dgm:spPr>
        <a:solidFill>
          <a:schemeClr val="accent5">
            <a:lumMod val="40000"/>
            <a:lumOff val="60000"/>
          </a:schemeClr>
        </a:solidFill>
      </dgm:spPr>
      <dgm:t>
        <a:bodyPr/>
        <a:lstStyle/>
        <a:p>
          <a:r>
            <a:rPr lang="bs-Latn-BA" sz="1100">
              <a:solidFill>
                <a:sysClr val="windowText" lastClr="000000"/>
              </a:solidFill>
              <a:latin typeface="+mj-lt"/>
              <a:cs typeface="Times New Roman" panose="02020603050405020304" pitchFamily="18" charset="0"/>
            </a:rPr>
            <a:t>Nosioci odgovornosti</a:t>
          </a:r>
        </a:p>
        <a:p>
          <a:r>
            <a:rPr lang="bs-Latn-BA" sz="1100">
              <a:solidFill>
                <a:sysClr val="windowText" lastClr="000000"/>
              </a:solidFill>
              <a:latin typeface="+mj-lt"/>
              <a:cs typeface="Times New Roman" panose="02020603050405020304" pitchFamily="18" charset="0"/>
            </a:rPr>
            <a:t>(aktivnosti)</a:t>
          </a:r>
          <a:endParaRPr lang="en-US" sz="1100">
            <a:solidFill>
              <a:sysClr val="windowText" lastClr="000000"/>
            </a:solidFill>
            <a:latin typeface="+mj-lt"/>
            <a:cs typeface="Times New Roman" panose="02020603050405020304" pitchFamily="18" charset="0"/>
          </a:endParaRPr>
        </a:p>
      </dgm:t>
    </dgm:pt>
    <dgm:pt modelId="{A22D63C5-18AE-4274-A415-33CB46DD667A}" type="parTrans" cxnId="{987B267A-E7CE-4477-B69F-2F3BBB547276}">
      <dgm:prSet/>
      <dgm:spPr>
        <a:solidFill>
          <a:schemeClr val="tx1"/>
        </a:solidFill>
        <a:ln w="9525">
          <a:solidFill>
            <a:schemeClr val="tx1"/>
          </a:solidFill>
        </a:ln>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D325989C-CB3B-4A6F-AA08-9305FC4DF6D1}" type="sibTrans" cxnId="{987B267A-E7CE-4477-B69F-2F3BBB547276}">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D4E17E29-3C18-4E92-AC23-3745FAD2B882}">
      <dgm:prSet phldrT="[Text]" custT="1"/>
      <dgm:spPr>
        <a:solidFill>
          <a:schemeClr val="accent5">
            <a:lumMod val="40000"/>
            <a:lumOff val="60000"/>
          </a:schemeClr>
        </a:solidFill>
      </dgm:spPr>
      <dgm:t>
        <a:bodyPr/>
        <a:lstStyle/>
        <a:p>
          <a:r>
            <a:rPr lang="bs-Latn-BA" sz="1100">
              <a:solidFill>
                <a:sysClr val="windowText" lastClr="000000"/>
              </a:solidFill>
              <a:latin typeface="+mj-lt"/>
              <a:cs typeface="Times New Roman" panose="02020603050405020304" pitchFamily="18" charset="0"/>
            </a:rPr>
            <a:t>Nosioci odgovornosti (efekat)</a:t>
          </a:r>
          <a:endParaRPr lang="en-US" sz="1100">
            <a:solidFill>
              <a:sysClr val="windowText" lastClr="000000"/>
            </a:solidFill>
            <a:latin typeface="+mj-lt"/>
            <a:cs typeface="Times New Roman" panose="02020603050405020304" pitchFamily="18" charset="0"/>
          </a:endParaRPr>
        </a:p>
      </dgm:t>
    </dgm:pt>
    <dgm:pt modelId="{0D65A7D5-3106-40D6-84B7-4222CCB6C860}" type="parTrans" cxnId="{50669C7B-12DF-41C6-84B1-87AFCD1D0974}">
      <dgm:prSet/>
      <dgm:spPr>
        <a:ln w="9525">
          <a:solidFill>
            <a:schemeClr val="tx1"/>
          </a:solidFill>
        </a:ln>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5A9F1954-0D56-41CC-8038-1E8666395880}" type="sibTrans" cxnId="{50669C7B-12DF-41C6-84B1-87AFCD1D0974}">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8EF1F8F2-246C-430B-8214-5028A5EB2267}">
      <dgm:prSet phldrT="[Text]" custT="1"/>
      <dgm:spPr>
        <a:solidFill>
          <a:schemeClr val="accent5">
            <a:lumMod val="40000"/>
            <a:lumOff val="60000"/>
          </a:schemeClr>
        </a:solidFill>
      </dgm:spPr>
      <dgm:t>
        <a:bodyPr/>
        <a:lstStyle/>
        <a:p>
          <a:r>
            <a:rPr lang="bs-Latn-BA" sz="1100">
              <a:solidFill>
                <a:sysClr val="windowText" lastClr="000000"/>
              </a:solidFill>
              <a:latin typeface="+mj-lt"/>
              <a:cs typeface="Times New Roman" panose="02020603050405020304" pitchFamily="18" charset="0"/>
            </a:rPr>
            <a:t>Statistički podaci (uticaj)</a:t>
          </a:r>
          <a:endParaRPr lang="en-US" sz="1100">
            <a:solidFill>
              <a:sysClr val="windowText" lastClr="000000"/>
            </a:solidFill>
            <a:latin typeface="+mj-lt"/>
            <a:cs typeface="Times New Roman" panose="02020603050405020304" pitchFamily="18" charset="0"/>
          </a:endParaRPr>
        </a:p>
      </dgm:t>
    </dgm:pt>
    <dgm:pt modelId="{1098FF8B-1217-41A5-BE01-CA519A9C3B95}" type="parTrans" cxnId="{CA8349B7-CA6F-4523-8223-CA5E9998E896}">
      <dgm:prSet/>
      <dgm:spPr>
        <a:ln w="9525">
          <a:solidFill>
            <a:schemeClr val="tx1"/>
          </a:solidFill>
        </a:ln>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2E3F7B2E-918D-4AF9-B3C7-4EBEB937B8DA}" type="sibTrans" cxnId="{CA8349B7-CA6F-4523-8223-CA5E9998E896}">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77E0E638-55F4-4E66-A428-8A5D6903FB3B}">
      <dgm:prSet custT="1"/>
      <dgm:spPr>
        <a:solidFill>
          <a:schemeClr val="accent5">
            <a:lumMod val="40000"/>
            <a:lumOff val="60000"/>
          </a:schemeClr>
        </a:solidFill>
      </dgm:spPr>
      <dgm:t>
        <a:bodyPr/>
        <a:lstStyle/>
        <a:p>
          <a:r>
            <a:rPr lang="bs-Latn-BA" sz="1100">
              <a:solidFill>
                <a:sysClr val="windowText" lastClr="000000"/>
              </a:solidFill>
              <a:latin typeface="+mj-lt"/>
              <a:cs typeface="Times New Roman" panose="02020603050405020304" pitchFamily="18" charset="0"/>
            </a:rPr>
            <a:t>Civilno društvo i GC FBIH (drugi prioriteti)</a:t>
          </a:r>
          <a:endParaRPr lang="en-US" sz="1100">
            <a:solidFill>
              <a:sysClr val="windowText" lastClr="000000"/>
            </a:solidFill>
            <a:latin typeface="+mj-lt"/>
            <a:cs typeface="Times New Roman" panose="02020603050405020304" pitchFamily="18" charset="0"/>
          </a:endParaRPr>
        </a:p>
      </dgm:t>
    </dgm:pt>
    <dgm:pt modelId="{D44FCF27-301B-46CC-B95B-FFCE62D2D3A4}" type="parTrans" cxnId="{5B1EB352-BC50-4201-9074-9F2117909680}">
      <dgm:prSet/>
      <dgm:spPr>
        <a:ln w="9525">
          <a:solidFill>
            <a:schemeClr val="tx1"/>
          </a:solidFill>
        </a:ln>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20654333-A227-48C9-A7D5-6FDF73601970}" type="sibTrans" cxnId="{5B1EB352-BC50-4201-9074-9F2117909680}">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ADC2C0AE-A5C0-4D34-A0D6-15A62958A70F}" type="pres">
      <dgm:prSet presAssocID="{8DE625CD-DBB3-4709-8DFA-7E9E846332C2}" presName="hierChild1" presStyleCnt="0">
        <dgm:presLayoutVars>
          <dgm:orgChart val="1"/>
          <dgm:chPref val="1"/>
          <dgm:dir/>
          <dgm:animOne val="branch"/>
          <dgm:animLvl val="lvl"/>
          <dgm:resizeHandles/>
        </dgm:presLayoutVars>
      </dgm:prSet>
      <dgm:spPr/>
      <dgm:t>
        <a:bodyPr/>
        <a:lstStyle/>
        <a:p>
          <a:endParaRPr lang="en-US"/>
        </a:p>
      </dgm:t>
    </dgm:pt>
    <dgm:pt modelId="{E557CC3D-0A02-453B-B4E2-9698C1478075}" type="pres">
      <dgm:prSet presAssocID="{7D621DAF-1777-4F52-B464-21D232CCA232}" presName="hierRoot1" presStyleCnt="0">
        <dgm:presLayoutVars>
          <dgm:hierBranch val="init"/>
        </dgm:presLayoutVars>
      </dgm:prSet>
      <dgm:spPr/>
    </dgm:pt>
    <dgm:pt modelId="{8B8995C7-AACD-4E98-BF52-CBB3BA5F18F3}" type="pres">
      <dgm:prSet presAssocID="{7D621DAF-1777-4F52-B464-21D232CCA232}" presName="rootComposite1" presStyleCnt="0"/>
      <dgm:spPr/>
    </dgm:pt>
    <dgm:pt modelId="{6A9683D4-7852-4644-92C2-0A447EFA9AB3}" type="pres">
      <dgm:prSet presAssocID="{7D621DAF-1777-4F52-B464-21D232CCA232}" presName="rootText1" presStyleLbl="node0" presStyleIdx="0" presStyleCnt="1" custScaleX="141752" custScaleY="103775">
        <dgm:presLayoutVars>
          <dgm:chPref val="3"/>
        </dgm:presLayoutVars>
      </dgm:prSet>
      <dgm:spPr/>
      <dgm:t>
        <a:bodyPr/>
        <a:lstStyle/>
        <a:p>
          <a:endParaRPr lang="en-US"/>
        </a:p>
      </dgm:t>
    </dgm:pt>
    <dgm:pt modelId="{56BFB2D6-815C-4D29-852F-0145C349E4A6}" type="pres">
      <dgm:prSet presAssocID="{7D621DAF-1777-4F52-B464-21D232CCA232}" presName="rootConnector1" presStyleLbl="node1" presStyleIdx="0" presStyleCnt="0"/>
      <dgm:spPr/>
      <dgm:t>
        <a:bodyPr/>
        <a:lstStyle/>
        <a:p>
          <a:endParaRPr lang="en-US"/>
        </a:p>
      </dgm:t>
    </dgm:pt>
    <dgm:pt modelId="{F709E9A0-8706-4853-A96C-DE1AA7A9C87A}" type="pres">
      <dgm:prSet presAssocID="{7D621DAF-1777-4F52-B464-21D232CCA232}" presName="hierChild2" presStyleCnt="0"/>
      <dgm:spPr/>
    </dgm:pt>
    <dgm:pt modelId="{784A3C09-3627-4639-9EFC-7ABF4E9532CA}" type="pres">
      <dgm:prSet presAssocID="{A22D63C5-18AE-4274-A415-33CB46DD667A}" presName="Name37" presStyleLbl="parChTrans1D2" presStyleIdx="0" presStyleCnt="4"/>
      <dgm:spPr/>
      <dgm:t>
        <a:bodyPr/>
        <a:lstStyle/>
        <a:p>
          <a:endParaRPr lang="en-US"/>
        </a:p>
      </dgm:t>
    </dgm:pt>
    <dgm:pt modelId="{9B916282-2CF2-4163-B592-67FA3DD766F8}" type="pres">
      <dgm:prSet presAssocID="{C989440E-E607-4942-B76D-353374719954}" presName="hierRoot2" presStyleCnt="0">
        <dgm:presLayoutVars>
          <dgm:hierBranch val="init"/>
        </dgm:presLayoutVars>
      </dgm:prSet>
      <dgm:spPr/>
    </dgm:pt>
    <dgm:pt modelId="{9161334B-C141-4073-B2CD-4FFAEDB97509}" type="pres">
      <dgm:prSet presAssocID="{C989440E-E607-4942-B76D-353374719954}" presName="rootComposite" presStyleCnt="0"/>
      <dgm:spPr/>
    </dgm:pt>
    <dgm:pt modelId="{59215EBE-D769-41AC-A336-2C3625FB562F}" type="pres">
      <dgm:prSet presAssocID="{C989440E-E607-4942-B76D-353374719954}" presName="rootText" presStyleLbl="node2" presStyleIdx="0" presStyleCnt="4">
        <dgm:presLayoutVars>
          <dgm:chPref val="3"/>
        </dgm:presLayoutVars>
      </dgm:prSet>
      <dgm:spPr/>
      <dgm:t>
        <a:bodyPr/>
        <a:lstStyle/>
        <a:p>
          <a:endParaRPr lang="en-US"/>
        </a:p>
      </dgm:t>
    </dgm:pt>
    <dgm:pt modelId="{F4122AD3-AE5A-4C18-8DE8-10585A744A97}" type="pres">
      <dgm:prSet presAssocID="{C989440E-E607-4942-B76D-353374719954}" presName="rootConnector" presStyleLbl="node2" presStyleIdx="0" presStyleCnt="4"/>
      <dgm:spPr/>
      <dgm:t>
        <a:bodyPr/>
        <a:lstStyle/>
        <a:p>
          <a:endParaRPr lang="en-US"/>
        </a:p>
      </dgm:t>
    </dgm:pt>
    <dgm:pt modelId="{75278C50-283D-4F25-AAFA-291EFA797325}" type="pres">
      <dgm:prSet presAssocID="{C989440E-E607-4942-B76D-353374719954}" presName="hierChild4" presStyleCnt="0"/>
      <dgm:spPr/>
    </dgm:pt>
    <dgm:pt modelId="{39BD8111-1579-488D-B2BD-311E7D76000E}" type="pres">
      <dgm:prSet presAssocID="{C989440E-E607-4942-B76D-353374719954}" presName="hierChild5" presStyleCnt="0"/>
      <dgm:spPr/>
    </dgm:pt>
    <dgm:pt modelId="{A43F2174-91E2-425A-ADC7-085988847679}" type="pres">
      <dgm:prSet presAssocID="{0D65A7D5-3106-40D6-84B7-4222CCB6C860}" presName="Name37" presStyleLbl="parChTrans1D2" presStyleIdx="1" presStyleCnt="4"/>
      <dgm:spPr/>
      <dgm:t>
        <a:bodyPr/>
        <a:lstStyle/>
        <a:p>
          <a:endParaRPr lang="en-US"/>
        </a:p>
      </dgm:t>
    </dgm:pt>
    <dgm:pt modelId="{3A06F023-6BBA-4E57-B14C-1838D554248A}" type="pres">
      <dgm:prSet presAssocID="{D4E17E29-3C18-4E92-AC23-3745FAD2B882}" presName="hierRoot2" presStyleCnt="0">
        <dgm:presLayoutVars>
          <dgm:hierBranch val="init"/>
        </dgm:presLayoutVars>
      </dgm:prSet>
      <dgm:spPr/>
    </dgm:pt>
    <dgm:pt modelId="{4027851B-0089-49A7-9732-60B388D07DCB}" type="pres">
      <dgm:prSet presAssocID="{D4E17E29-3C18-4E92-AC23-3745FAD2B882}" presName="rootComposite" presStyleCnt="0"/>
      <dgm:spPr/>
    </dgm:pt>
    <dgm:pt modelId="{F1968D76-72DC-4DA9-B0A6-CFD2A244F740}" type="pres">
      <dgm:prSet presAssocID="{D4E17E29-3C18-4E92-AC23-3745FAD2B882}" presName="rootText" presStyleLbl="node2" presStyleIdx="1" presStyleCnt="4">
        <dgm:presLayoutVars>
          <dgm:chPref val="3"/>
        </dgm:presLayoutVars>
      </dgm:prSet>
      <dgm:spPr/>
      <dgm:t>
        <a:bodyPr/>
        <a:lstStyle/>
        <a:p>
          <a:endParaRPr lang="en-US"/>
        </a:p>
      </dgm:t>
    </dgm:pt>
    <dgm:pt modelId="{F95260F7-2816-47A7-85BC-304F6820271C}" type="pres">
      <dgm:prSet presAssocID="{D4E17E29-3C18-4E92-AC23-3745FAD2B882}" presName="rootConnector" presStyleLbl="node2" presStyleIdx="1" presStyleCnt="4"/>
      <dgm:spPr/>
      <dgm:t>
        <a:bodyPr/>
        <a:lstStyle/>
        <a:p>
          <a:endParaRPr lang="en-US"/>
        </a:p>
      </dgm:t>
    </dgm:pt>
    <dgm:pt modelId="{863AF3B3-CAF5-4639-9EA1-039BC1489D1A}" type="pres">
      <dgm:prSet presAssocID="{D4E17E29-3C18-4E92-AC23-3745FAD2B882}" presName="hierChild4" presStyleCnt="0"/>
      <dgm:spPr/>
    </dgm:pt>
    <dgm:pt modelId="{057FC8C7-EB56-4DEA-8153-C635AAFEC01E}" type="pres">
      <dgm:prSet presAssocID="{D4E17E29-3C18-4E92-AC23-3745FAD2B882}" presName="hierChild5" presStyleCnt="0"/>
      <dgm:spPr/>
    </dgm:pt>
    <dgm:pt modelId="{243838A9-4AF2-41B3-8B97-818DC80B289E}" type="pres">
      <dgm:prSet presAssocID="{1098FF8B-1217-41A5-BE01-CA519A9C3B95}" presName="Name37" presStyleLbl="parChTrans1D2" presStyleIdx="2" presStyleCnt="4"/>
      <dgm:spPr/>
      <dgm:t>
        <a:bodyPr/>
        <a:lstStyle/>
        <a:p>
          <a:endParaRPr lang="en-US"/>
        </a:p>
      </dgm:t>
    </dgm:pt>
    <dgm:pt modelId="{98C60824-BCF9-4D47-9F43-F4D85D7914D0}" type="pres">
      <dgm:prSet presAssocID="{8EF1F8F2-246C-430B-8214-5028A5EB2267}" presName="hierRoot2" presStyleCnt="0">
        <dgm:presLayoutVars>
          <dgm:hierBranch val="init"/>
        </dgm:presLayoutVars>
      </dgm:prSet>
      <dgm:spPr/>
    </dgm:pt>
    <dgm:pt modelId="{A7337629-7DC8-4F56-BE82-43EB5BB4570B}" type="pres">
      <dgm:prSet presAssocID="{8EF1F8F2-246C-430B-8214-5028A5EB2267}" presName="rootComposite" presStyleCnt="0"/>
      <dgm:spPr/>
    </dgm:pt>
    <dgm:pt modelId="{8B7A5DDA-D330-4255-BE51-651E1E3E7F40}" type="pres">
      <dgm:prSet presAssocID="{8EF1F8F2-246C-430B-8214-5028A5EB2267}" presName="rootText" presStyleLbl="node2" presStyleIdx="2" presStyleCnt="4">
        <dgm:presLayoutVars>
          <dgm:chPref val="3"/>
        </dgm:presLayoutVars>
      </dgm:prSet>
      <dgm:spPr/>
      <dgm:t>
        <a:bodyPr/>
        <a:lstStyle/>
        <a:p>
          <a:endParaRPr lang="en-US"/>
        </a:p>
      </dgm:t>
    </dgm:pt>
    <dgm:pt modelId="{538D5935-073B-4BC9-87F9-B688BE8CC08C}" type="pres">
      <dgm:prSet presAssocID="{8EF1F8F2-246C-430B-8214-5028A5EB2267}" presName="rootConnector" presStyleLbl="node2" presStyleIdx="2" presStyleCnt="4"/>
      <dgm:spPr/>
      <dgm:t>
        <a:bodyPr/>
        <a:lstStyle/>
        <a:p>
          <a:endParaRPr lang="en-US"/>
        </a:p>
      </dgm:t>
    </dgm:pt>
    <dgm:pt modelId="{45BAA4E0-124C-4C6A-8D33-58FC0DF0DC1B}" type="pres">
      <dgm:prSet presAssocID="{8EF1F8F2-246C-430B-8214-5028A5EB2267}" presName="hierChild4" presStyleCnt="0"/>
      <dgm:spPr/>
    </dgm:pt>
    <dgm:pt modelId="{E6284069-E671-4863-8AD3-F3FD94EE6A7B}" type="pres">
      <dgm:prSet presAssocID="{8EF1F8F2-246C-430B-8214-5028A5EB2267}" presName="hierChild5" presStyleCnt="0"/>
      <dgm:spPr/>
    </dgm:pt>
    <dgm:pt modelId="{2C57515B-B728-439B-8723-B6218A784105}" type="pres">
      <dgm:prSet presAssocID="{D44FCF27-301B-46CC-B95B-FFCE62D2D3A4}" presName="Name37" presStyleLbl="parChTrans1D2" presStyleIdx="3" presStyleCnt="4"/>
      <dgm:spPr/>
      <dgm:t>
        <a:bodyPr/>
        <a:lstStyle/>
        <a:p>
          <a:endParaRPr lang="en-US"/>
        </a:p>
      </dgm:t>
    </dgm:pt>
    <dgm:pt modelId="{2A894C2E-6415-49DE-AD3C-4170BB6C3C34}" type="pres">
      <dgm:prSet presAssocID="{77E0E638-55F4-4E66-A428-8A5D6903FB3B}" presName="hierRoot2" presStyleCnt="0">
        <dgm:presLayoutVars>
          <dgm:hierBranch val="init"/>
        </dgm:presLayoutVars>
      </dgm:prSet>
      <dgm:spPr/>
    </dgm:pt>
    <dgm:pt modelId="{352EE1A0-4EB9-49A1-927E-7A55EE707133}" type="pres">
      <dgm:prSet presAssocID="{77E0E638-55F4-4E66-A428-8A5D6903FB3B}" presName="rootComposite" presStyleCnt="0"/>
      <dgm:spPr/>
    </dgm:pt>
    <dgm:pt modelId="{8496DE34-5981-4596-92FF-8D9A104AA739}" type="pres">
      <dgm:prSet presAssocID="{77E0E638-55F4-4E66-A428-8A5D6903FB3B}" presName="rootText" presStyleLbl="node2" presStyleIdx="3" presStyleCnt="4">
        <dgm:presLayoutVars>
          <dgm:chPref val="3"/>
        </dgm:presLayoutVars>
      </dgm:prSet>
      <dgm:spPr/>
      <dgm:t>
        <a:bodyPr/>
        <a:lstStyle/>
        <a:p>
          <a:endParaRPr lang="en-US"/>
        </a:p>
      </dgm:t>
    </dgm:pt>
    <dgm:pt modelId="{563BE009-F6C8-426B-B58F-F522826B38B0}" type="pres">
      <dgm:prSet presAssocID="{77E0E638-55F4-4E66-A428-8A5D6903FB3B}" presName="rootConnector" presStyleLbl="node2" presStyleIdx="3" presStyleCnt="4"/>
      <dgm:spPr/>
      <dgm:t>
        <a:bodyPr/>
        <a:lstStyle/>
        <a:p>
          <a:endParaRPr lang="en-US"/>
        </a:p>
      </dgm:t>
    </dgm:pt>
    <dgm:pt modelId="{8748C9BD-215A-4D4A-B8A9-A3C789EA8BC2}" type="pres">
      <dgm:prSet presAssocID="{77E0E638-55F4-4E66-A428-8A5D6903FB3B}" presName="hierChild4" presStyleCnt="0"/>
      <dgm:spPr/>
    </dgm:pt>
    <dgm:pt modelId="{82BB7063-656E-45D9-B5B6-14BC3B0FC9C5}" type="pres">
      <dgm:prSet presAssocID="{77E0E638-55F4-4E66-A428-8A5D6903FB3B}" presName="hierChild5" presStyleCnt="0"/>
      <dgm:spPr/>
    </dgm:pt>
    <dgm:pt modelId="{6D655975-53B2-4EFD-BB4F-09113418F96E}" type="pres">
      <dgm:prSet presAssocID="{7D621DAF-1777-4F52-B464-21D232CCA232}" presName="hierChild3" presStyleCnt="0"/>
      <dgm:spPr/>
    </dgm:pt>
  </dgm:ptLst>
  <dgm:cxnLst>
    <dgm:cxn modelId="{E5130595-7931-4F2E-95BF-06F7CE79CABD}" type="presOf" srcId="{77E0E638-55F4-4E66-A428-8A5D6903FB3B}" destId="{563BE009-F6C8-426B-B58F-F522826B38B0}" srcOrd="1" destOrd="0" presId="urn:microsoft.com/office/officeart/2005/8/layout/orgChart1"/>
    <dgm:cxn modelId="{8301CF72-2346-4265-B4AE-12F72043A37A}" type="presOf" srcId="{D44FCF27-301B-46CC-B95B-FFCE62D2D3A4}" destId="{2C57515B-B728-439B-8723-B6218A784105}" srcOrd="0" destOrd="0" presId="urn:microsoft.com/office/officeart/2005/8/layout/orgChart1"/>
    <dgm:cxn modelId="{987B267A-E7CE-4477-B69F-2F3BBB547276}" srcId="{7D621DAF-1777-4F52-B464-21D232CCA232}" destId="{C989440E-E607-4942-B76D-353374719954}" srcOrd="0" destOrd="0" parTransId="{A22D63C5-18AE-4274-A415-33CB46DD667A}" sibTransId="{D325989C-CB3B-4A6F-AA08-9305FC4DF6D1}"/>
    <dgm:cxn modelId="{D11E3DE4-0457-4238-A623-90B0676DA35A}" type="presOf" srcId="{1098FF8B-1217-41A5-BE01-CA519A9C3B95}" destId="{243838A9-4AF2-41B3-8B97-818DC80B289E}" srcOrd="0" destOrd="0" presId="urn:microsoft.com/office/officeart/2005/8/layout/orgChart1"/>
    <dgm:cxn modelId="{5B1EB352-BC50-4201-9074-9F2117909680}" srcId="{7D621DAF-1777-4F52-B464-21D232CCA232}" destId="{77E0E638-55F4-4E66-A428-8A5D6903FB3B}" srcOrd="3" destOrd="0" parTransId="{D44FCF27-301B-46CC-B95B-FFCE62D2D3A4}" sibTransId="{20654333-A227-48C9-A7D5-6FDF73601970}"/>
    <dgm:cxn modelId="{CA8349B7-CA6F-4523-8223-CA5E9998E896}" srcId="{7D621DAF-1777-4F52-B464-21D232CCA232}" destId="{8EF1F8F2-246C-430B-8214-5028A5EB2267}" srcOrd="2" destOrd="0" parTransId="{1098FF8B-1217-41A5-BE01-CA519A9C3B95}" sibTransId="{2E3F7B2E-918D-4AF9-B3C7-4EBEB937B8DA}"/>
    <dgm:cxn modelId="{9639CD1A-1E42-43BE-B06F-5647B1DAD2FA}" type="presOf" srcId="{C989440E-E607-4942-B76D-353374719954}" destId="{F4122AD3-AE5A-4C18-8DE8-10585A744A97}" srcOrd="1" destOrd="0" presId="urn:microsoft.com/office/officeart/2005/8/layout/orgChart1"/>
    <dgm:cxn modelId="{C0F048CD-8500-4C2D-9855-75D749E7D6BA}" type="presOf" srcId="{0D65A7D5-3106-40D6-84B7-4222CCB6C860}" destId="{A43F2174-91E2-425A-ADC7-085988847679}" srcOrd="0" destOrd="0" presId="urn:microsoft.com/office/officeart/2005/8/layout/orgChart1"/>
    <dgm:cxn modelId="{497802FE-11D6-4271-AC76-E4750C8264A6}" type="presOf" srcId="{8EF1F8F2-246C-430B-8214-5028A5EB2267}" destId="{8B7A5DDA-D330-4255-BE51-651E1E3E7F40}" srcOrd="0" destOrd="0" presId="urn:microsoft.com/office/officeart/2005/8/layout/orgChart1"/>
    <dgm:cxn modelId="{792A64A5-543C-45F7-A7B4-C65C0FF068E7}" type="presOf" srcId="{C989440E-E607-4942-B76D-353374719954}" destId="{59215EBE-D769-41AC-A336-2C3625FB562F}" srcOrd="0" destOrd="0" presId="urn:microsoft.com/office/officeart/2005/8/layout/orgChart1"/>
    <dgm:cxn modelId="{677D6F3D-F694-43A0-AC69-F73E3198882F}" type="presOf" srcId="{A22D63C5-18AE-4274-A415-33CB46DD667A}" destId="{784A3C09-3627-4639-9EFC-7ABF4E9532CA}" srcOrd="0" destOrd="0" presId="urn:microsoft.com/office/officeart/2005/8/layout/orgChart1"/>
    <dgm:cxn modelId="{6AE694C0-5471-4D2A-8E9E-B547DA081765}" type="presOf" srcId="{7D621DAF-1777-4F52-B464-21D232CCA232}" destId="{56BFB2D6-815C-4D29-852F-0145C349E4A6}" srcOrd="1" destOrd="0" presId="urn:microsoft.com/office/officeart/2005/8/layout/orgChart1"/>
    <dgm:cxn modelId="{CFCEAA88-12C9-4F42-878B-DCD38D4135A5}" srcId="{8DE625CD-DBB3-4709-8DFA-7E9E846332C2}" destId="{7D621DAF-1777-4F52-B464-21D232CCA232}" srcOrd="0" destOrd="0" parTransId="{41052F07-27AD-488D-9B02-134A99647D4A}" sibTransId="{DCA6871B-6D5A-4CB2-9A3D-B6B77EFB5C33}"/>
    <dgm:cxn modelId="{29340A47-7B1B-4822-B93A-E7D017F337BB}" type="presOf" srcId="{7D621DAF-1777-4F52-B464-21D232CCA232}" destId="{6A9683D4-7852-4644-92C2-0A447EFA9AB3}" srcOrd="0" destOrd="0" presId="urn:microsoft.com/office/officeart/2005/8/layout/orgChart1"/>
    <dgm:cxn modelId="{2DB7F46B-4ED3-4597-901C-2D0D5E381E84}" type="presOf" srcId="{D4E17E29-3C18-4E92-AC23-3745FAD2B882}" destId="{F1968D76-72DC-4DA9-B0A6-CFD2A244F740}" srcOrd="0" destOrd="0" presId="urn:microsoft.com/office/officeart/2005/8/layout/orgChart1"/>
    <dgm:cxn modelId="{4906497A-E74D-4A8D-8CC0-8D4E220AE685}" type="presOf" srcId="{77E0E638-55F4-4E66-A428-8A5D6903FB3B}" destId="{8496DE34-5981-4596-92FF-8D9A104AA739}" srcOrd="0" destOrd="0" presId="urn:microsoft.com/office/officeart/2005/8/layout/orgChart1"/>
    <dgm:cxn modelId="{50669C7B-12DF-41C6-84B1-87AFCD1D0974}" srcId="{7D621DAF-1777-4F52-B464-21D232CCA232}" destId="{D4E17E29-3C18-4E92-AC23-3745FAD2B882}" srcOrd="1" destOrd="0" parTransId="{0D65A7D5-3106-40D6-84B7-4222CCB6C860}" sibTransId="{5A9F1954-0D56-41CC-8038-1E8666395880}"/>
    <dgm:cxn modelId="{ACB88975-3EEF-47CA-BAAD-C7EAC49C010A}" type="presOf" srcId="{D4E17E29-3C18-4E92-AC23-3745FAD2B882}" destId="{F95260F7-2816-47A7-85BC-304F6820271C}" srcOrd="1" destOrd="0" presId="urn:microsoft.com/office/officeart/2005/8/layout/orgChart1"/>
    <dgm:cxn modelId="{2BDA4FC4-EAE7-4122-A0C7-8B2FFC84EBFB}" type="presOf" srcId="{8DE625CD-DBB3-4709-8DFA-7E9E846332C2}" destId="{ADC2C0AE-A5C0-4D34-A0D6-15A62958A70F}" srcOrd="0" destOrd="0" presId="urn:microsoft.com/office/officeart/2005/8/layout/orgChart1"/>
    <dgm:cxn modelId="{E7AD49C4-66D8-4921-B444-7BB93A6EDFC3}" type="presOf" srcId="{8EF1F8F2-246C-430B-8214-5028A5EB2267}" destId="{538D5935-073B-4BC9-87F9-B688BE8CC08C}" srcOrd="1" destOrd="0" presId="urn:microsoft.com/office/officeart/2005/8/layout/orgChart1"/>
    <dgm:cxn modelId="{A5DD2E50-1738-4AE6-8327-543663DA2CBB}" type="presParOf" srcId="{ADC2C0AE-A5C0-4D34-A0D6-15A62958A70F}" destId="{E557CC3D-0A02-453B-B4E2-9698C1478075}" srcOrd="0" destOrd="0" presId="urn:microsoft.com/office/officeart/2005/8/layout/orgChart1"/>
    <dgm:cxn modelId="{FBDD6E4B-EE4C-4F07-8910-2F7ECE7D0C79}" type="presParOf" srcId="{E557CC3D-0A02-453B-B4E2-9698C1478075}" destId="{8B8995C7-AACD-4E98-BF52-CBB3BA5F18F3}" srcOrd="0" destOrd="0" presId="urn:microsoft.com/office/officeart/2005/8/layout/orgChart1"/>
    <dgm:cxn modelId="{546F5584-E6DD-4D0A-912C-5B3191912433}" type="presParOf" srcId="{8B8995C7-AACD-4E98-BF52-CBB3BA5F18F3}" destId="{6A9683D4-7852-4644-92C2-0A447EFA9AB3}" srcOrd="0" destOrd="0" presId="urn:microsoft.com/office/officeart/2005/8/layout/orgChart1"/>
    <dgm:cxn modelId="{D4A8BD60-4169-4928-8E82-D01B1AFCE584}" type="presParOf" srcId="{8B8995C7-AACD-4E98-BF52-CBB3BA5F18F3}" destId="{56BFB2D6-815C-4D29-852F-0145C349E4A6}" srcOrd="1" destOrd="0" presId="urn:microsoft.com/office/officeart/2005/8/layout/orgChart1"/>
    <dgm:cxn modelId="{D8E78B01-85B2-4F22-A323-091AB6567D82}" type="presParOf" srcId="{E557CC3D-0A02-453B-B4E2-9698C1478075}" destId="{F709E9A0-8706-4853-A96C-DE1AA7A9C87A}" srcOrd="1" destOrd="0" presId="urn:microsoft.com/office/officeart/2005/8/layout/orgChart1"/>
    <dgm:cxn modelId="{E35D71BF-8501-4A7A-A4C6-621C2BECB697}" type="presParOf" srcId="{F709E9A0-8706-4853-A96C-DE1AA7A9C87A}" destId="{784A3C09-3627-4639-9EFC-7ABF4E9532CA}" srcOrd="0" destOrd="0" presId="urn:microsoft.com/office/officeart/2005/8/layout/orgChart1"/>
    <dgm:cxn modelId="{E9EDC241-3367-4C49-B838-584A48AC9A94}" type="presParOf" srcId="{F709E9A0-8706-4853-A96C-DE1AA7A9C87A}" destId="{9B916282-2CF2-4163-B592-67FA3DD766F8}" srcOrd="1" destOrd="0" presId="urn:microsoft.com/office/officeart/2005/8/layout/orgChart1"/>
    <dgm:cxn modelId="{DAC3BAEF-AB3B-4550-B6BE-70B8BD93537E}" type="presParOf" srcId="{9B916282-2CF2-4163-B592-67FA3DD766F8}" destId="{9161334B-C141-4073-B2CD-4FFAEDB97509}" srcOrd="0" destOrd="0" presId="urn:microsoft.com/office/officeart/2005/8/layout/orgChart1"/>
    <dgm:cxn modelId="{9ECC52CC-255F-4632-909D-E2C73B90E972}" type="presParOf" srcId="{9161334B-C141-4073-B2CD-4FFAEDB97509}" destId="{59215EBE-D769-41AC-A336-2C3625FB562F}" srcOrd="0" destOrd="0" presId="urn:microsoft.com/office/officeart/2005/8/layout/orgChart1"/>
    <dgm:cxn modelId="{56BF22A0-AEBC-4E70-A4DB-73B9ED343CC2}" type="presParOf" srcId="{9161334B-C141-4073-B2CD-4FFAEDB97509}" destId="{F4122AD3-AE5A-4C18-8DE8-10585A744A97}" srcOrd="1" destOrd="0" presId="urn:microsoft.com/office/officeart/2005/8/layout/orgChart1"/>
    <dgm:cxn modelId="{33B3E7AE-537B-4B3F-B6E4-760E2947A9CE}" type="presParOf" srcId="{9B916282-2CF2-4163-B592-67FA3DD766F8}" destId="{75278C50-283D-4F25-AAFA-291EFA797325}" srcOrd="1" destOrd="0" presId="urn:microsoft.com/office/officeart/2005/8/layout/orgChart1"/>
    <dgm:cxn modelId="{99C99B8F-671B-4619-AABE-1E47D869E82A}" type="presParOf" srcId="{9B916282-2CF2-4163-B592-67FA3DD766F8}" destId="{39BD8111-1579-488D-B2BD-311E7D76000E}" srcOrd="2" destOrd="0" presId="urn:microsoft.com/office/officeart/2005/8/layout/orgChart1"/>
    <dgm:cxn modelId="{C81566B3-CBE2-42B1-A2A6-FADA63C5889D}" type="presParOf" srcId="{F709E9A0-8706-4853-A96C-DE1AA7A9C87A}" destId="{A43F2174-91E2-425A-ADC7-085988847679}" srcOrd="2" destOrd="0" presId="urn:microsoft.com/office/officeart/2005/8/layout/orgChart1"/>
    <dgm:cxn modelId="{FB321D2E-131A-46EE-BB82-D48A58F6D1F1}" type="presParOf" srcId="{F709E9A0-8706-4853-A96C-DE1AA7A9C87A}" destId="{3A06F023-6BBA-4E57-B14C-1838D554248A}" srcOrd="3" destOrd="0" presId="urn:microsoft.com/office/officeart/2005/8/layout/orgChart1"/>
    <dgm:cxn modelId="{55FE6D9F-9063-4274-BDEC-F98B2D6B1466}" type="presParOf" srcId="{3A06F023-6BBA-4E57-B14C-1838D554248A}" destId="{4027851B-0089-49A7-9732-60B388D07DCB}" srcOrd="0" destOrd="0" presId="urn:microsoft.com/office/officeart/2005/8/layout/orgChart1"/>
    <dgm:cxn modelId="{B7379522-0FDE-4653-9A09-0E83CAB0351C}" type="presParOf" srcId="{4027851B-0089-49A7-9732-60B388D07DCB}" destId="{F1968D76-72DC-4DA9-B0A6-CFD2A244F740}" srcOrd="0" destOrd="0" presId="urn:microsoft.com/office/officeart/2005/8/layout/orgChart1"/>
    <dgm:cxn modelId="{3D823D1F-EE0E-405B-A7E1-5C9A9AC583EB}" type="presParOf" srcId="{4027851B-0089-49A7-9732-60B388D07DCB}" destId="{F95260F7-2816-47A7-85BC-304F6820271C}" srcOrd="1" destOrd="0" presId="urn:microsoft.com/office/officeart/2005/8/layout/orgChart1"/>
    <dgm:cxn modelId="{23334ECC-DE09-4725-B657-AED0B610FD70}" type="presParOf" srcId="{3A06F023-6BBA-4E57-B14C-1838D554248A}" destId="{863AF3B3-CAF5-4639-9EA1-039BC1489D1A}" srcOrd="1" destOrd="0" presId="urn:microsoft.com/office/officeart/2005/8/layout/orgChart1"/>
    <dgm:cxn modelId="{9CF1CDFF-E6D5-4A1D-A486-A85652350F07}" type="presParOf" srcId="{3A06F023-6BBA-4E57-B14C-1838D554248A}" destId="{057FC8C7-EB56-4DEA-8153-C635AAFEC01E}" srcOrd="2" destOrd="0" presId="urn:microsoft.com/office/officeart/2005/8/layout/orgChart1"/>
    <dgm:cxn modelId="{9C3C2D63-D0B4-43AF-8307-378AEE97A747}" type="presParOf" srcId="{F709E9A0-8706-4853-A96C-DE1AA7A9C87A}" destId="{243838A9-4AF2-41B3-8B97-818DC80B289E}" srcOrd="4" destOrd="0" presId="urn:microsoft.com/office/officeart/2005/8/layout/orgChart1"/>
    <dgm:cxn modelId="{B356D3AB-79C8-4B29-9B87-F2267663284C}" type="presParOf" srcId="{F709E9A0-8706-4853-A96C-DE1AA7A9C87A}" destId="{98C60824-BCF9-4D47-9F43-F4D85D7914D0}" srcOrd="5" destOrd="0" presId="urn:microsoft.com/office/officeart/2005/8/layout/orgChart1"/>
    <dgm:cxn modelId="{210B31AE-0E14-4400-8B40-AAF76AAC33AB}" type="presParOf" srcId="{98C60824-BCF9-4D47-9F43-F4D85D7914D0}" destId="{A7337629-7DC8-4F56-BE82-43EB5BB4570B}" srcOrd="0" destOrd="0" presId="urn:microsoft.com/office/officeart/2005/8/layout/orgChart1"/>
    <dgm:cxn modelId="{9F93B13C-CA08-45B9-A0D6-5E009CC47064}" type="presParOf" srcId="{A7337629-7DC8-4F56-BE82-43EB5BB4570B}" destId="{8B7A5DDA-D330-4255-BE51-651E1E3E7F40}" srcOrd="0" destOrd="0" presId="urn:microsoft.com/office/officeart/2005/8/layout/orgChart1"/>
    <dgm:cxn modelId="{A677C79E-5BF8-43DA-94EE-9BAE56D70694}" type="presParOf" srcId="{A7337629-7DC8-4F56-BE82-43EB5BB4570B}" destId="{538D5935-073B-4BC9-87F9-B688BE8CC08C}" srcOrd="1" destOrd="0" presId="urn:microsoft.com/office/officeart/2005/8/layout/orgChart1"/>
    <dgm:cxn modelId="{15E0B56C-86CF-4266-879A-386DF73885BA}" type="presParOf" srcId="{98C60824-BCF9-4D47-9F43-F4D85D7914D0}" destId="{45BAA4E0-124C-4C6A-8D33-58FC0DF0DC1B}" srcOrd="1" destOrd="0" presId="urn:microsoft.com/office/officeart/2005/8/layout/orgChart1"/>
    <dgm:cxn modelId="{D22BA5C5-EC6D-4C70-93C7-2B1DA9337A15}" type="presParOf" srcId="{98C60824-BCF9-4D47-9F43-F4D85D7914D0}" destId="{E6284069-E671-4863-8AD3-F3FD94EE6A7B}" srcOrd="2" destOrd="0" presId="urn:microsoft.com/office/officeart/2005/8/layout/orgChart1"/>
    <dgm:cxn modelId="{ED9A265C-9981-4F20-A8B8-CD9FFD5AE80B}" type="presParOf" srcId="{F709E9A0-8706-4853-A96C-DE1AA7A9C87A}" destId="{2C57515B-B728-439B-8723-B6218A784105}" srcOrd="6" destOrd="0" presId="urn:microsoft.com/office/officeart/2005/8/layout/orgChart1"/>
    <dgm:cxn modelId="{EDE7ADBD-9CBF-4E50-B295-00BCC52CAFEF}" type="presParOf" srcId="{F709E9A0-8706-4853-A96C-DE1AA7A9C87A}" destId="{2A894C2E-6415-49DE-AD3C-4170BB6C3C34}" srcOrd="7" destOrd="0" presId="urn:microsoft.com/office/officeart/2005/8/layout/orgChart1"/>
    <dgm:cxn modelId="{63346DFF-44A2-47F1-8123-A960F269695C}" type="presParOf" srcId="{2A894C2E-6415-49DE-AD3C-4170BB6C3C34}" destId="{352EE1A0-4EB9-49A1-927E-7A55EE707133}" srcOrd="0" destOrd="0" presId="urn:microsoft.com/office/officeart/2005/8/layout/orgChart1"/>
    <dgm:cxn modelId="{758458EA-166E-4217-8FA2-07022829CC18}" type="presParOf" srcId="{352EE1A0-4EB9-49A1-927E-7A55EE707133}" destId="{8496DE34-5981-4596-92FF-8D9A104AA739}" srcOrd="0" destOrd="0" presId="urn:microsoft.com/office/officeart/2005/8/layout/orgChart1"/>
    <dgm:cxn modelId="{83F1B537-3F7D-4872-A1CA-58734D969D64}" type="presParOf" srcId="{352EE1A0-4EB9-49A1-927E-7A55EE707133}" destId="{563BE009-F6C8-426B-B58F-F522826B38B0}" srcOrd="1" destOrd="0" presId="urn:microsoft.com/office/officeart/2005/8/layout/orgChart1"/>
    <dgm:cxn modelId="{DEF40623-9559-483B-8DE0-68F04189DD61}" type="presParOf" srcId="{2A894C2E-6415-49DE-AD3C-4170BB6C3C34}" destId="{8748C9BD-215A-4D4A-B8A9-A3C789EA8BC2}" srcOrd="1" destOrd="0" presId="urn:microsoft.com/office/officeart/2005/8/layout/orgChart1"/>
    <dgm:cxn modelId="{360BF16D-8EB6-414B-99E3-41312AD5AAA5}" type="presParOf" srcId="{2A894C2E-6415-49DE-AD3C-4170BB6C3C34}" destId="{82BB7063-656E-45D9-B5B6-14BC3B0FC9C5}" srcOrd="2" destOrd="0" presId="urn:microsoft.com/office/officeart/2005/8/layout/orgChart1"/>
    <dgm:cxn modelId="{2830FD39-E1AF-44D5-8BAD-F8004E2296E6}" type="presParOf" srcId="{E557CC3D-0A02-453B-B4E2-9698C1478075}" destId="{6D655975-53B2-4EFD-BB4F-09113418F96E}" srcOrd="2" destOrd="0" presId="urn:microsoft.com/office/officeart/2005/8/layout/orgChart1"/>
  </dgm:cxnLst>
  <dgm:bg>
    <a:noFill/>
  </dgm:bg>
  <dgm:whole/>
  <dgm:extLst>
    <a:ext uri="http://schemas.microsoft.com/office/drawing/2008/diagram">
      <dsp:dataModelExt xmlns:dsp="http://schemas.microsoft.com/office/drawing/2008/diagram" relId="rId5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2AA1D21-3AFC-451F-8C80-99994C16D135}" type="doc">
      <dgm:prSet loTypeId="urn:microsoft.com/office/officeart/2005/8/layout/default" loCatId="list" qsTypeId="urn:microsoft.com/office/officeart/2005/8/quickstyle/3d3" qsCatId="3D" csTypeId="urn:microsoft.com/office/officeart/2005/8/colors/accent0_3" csCatId="mainScheme" phldr="1"/>
      <dgm:spPr/>
      <dgm:t>
        <a:bodyPr/>
        <a:lstStyle/>
        <a:p>
          <a:endParaRPr lang="en-US"/>
        </a:p>
      </dgm:t>
    </dgm:pt>
    <dgm:pt modelId="{64D85CC0-87D6-4473-A9FE-0FE7A7BAAD4B}">
      <dgm:prSet phldrT="[Text]" custT="1"/>
      <dgm:spPr>
        <a:solidFill>
          <a:schemeClr val="accent5">
            <a:lumMod val="40000"/>
            <a:lumOff val="60000"/>
          </a:schemeClr>
        </a:solidFill>
      </dgm:spPr>
      <dgm:t>
        <a:bodyPr/>
        <a:lstStyle/>
        <a:p>
          <a:pPr algn="ctr"/>
          <a:r>
            <a:rPr lang="bs-Latn-BA" sz="1000">
              <a:solidFill>
                <a:sysClr val="windowText" lastClr="000000"/>
              </a:solidFill>
              <a:latin typeface="Times New Roman" panose="02020603050405020304" pitchFamily="18" charset="0"/>
              <a:ea typeface="Cambria" panose="02040503050406030204" pitchFamily="18" charset="0"/>
              <a:cs typeface="Times New Roman" panose="02020603050405020304" pitchFamily="18" charset="0"/>
            </a:rPr>
            <a:t>Koordinacioni odbor sačinjava godišnji Izvještaj o provođenju GAP koji se prezentuje Vladi sa prijedlozima zaključaka i prioritetima za narednu godinu.</a:t>
          </a:r>
        </a:p>
        <a:p>
          <a:pPr algn="ctr"/>
          <a:r>
            <a:rPr lang="bs-Latn-BA" sz="1000">
              <a:solidFill>
                <a:sysClr val="windowText" lastClr="000000"/>
              </a:solidFill>
              <a:latin typeface="Times New Roman" panose="02020603050405020304" pitchFamily="18" charset="0"/>
              <a:ea typeface="Cambria" panose="02040503050406030204" pitchFamily="18" charset="0"/>
              <a:cs typeface="Times New Roman" panose="02020603050405020304" pitchFamily="18" charset="0"/>
            </a:rPr>
            <a:t>Izvještaj se javno objavljuje</a:t>
          </a:r>
          <a:endParaRPr lang="en-US" sz="1000">
            <a:solidFill>
              <a:sysClr val="windowText" lastClr="000000"/>
            </a:solidFill>
            <a:latin typeface="Times New Roman" panose="02020603050405020304" pitchFamily="18" charset="0"/>
            <a:ea typeface="Cambria" panose="02040503050406030204" pitchFamily="18" charset="0"/>
            <a:cs typeface="Times New Roman" panose="02020603050405020304" pitchFamily="18" charset="0"/>
          </a:endParaRPr>
        </a:p>
      </dgm:t>
    </dgm:pt>
    <dgm:pt modelId="{3251154A-2509-4D5F-AB69-0D96D8E70369}" type="parTrans" cxnId="{B8501AF7-1FE1-4CC2-B6FA-AA80ACD8EF99}">
      <dgm:prSet/>
      <dgm:spPr/>
      <dgm:t>
        <a:bodyPr/>
        <a:lstStyle/>
        <a:p>
          <a:pPr algn="ctr"/>
          <a:endParaRPr lang="en-US" sz="1100">
            <a:solidFill>
              <a:schemeClr val="bg1"/>
            </a:solidFill>
            <a:latin typeface="Cambria" panose="02040503050406030204" pitchFamily="18" charset="0"/>
            <a:ea typeface="Cambria" panose="02040503050406030204" pitchFamily="18" charset="0"/>
          </a:endParaRPr>
        </a:p>
      </dgm:t>
    </dgm:pt>
    <dgm:pt modelId="{CCF64343-BF22-48AF-80BA-C497049284D3}" type="sibTrans" cxnId="{B8501AF7-1FE1-4CC2-B6FA-AA80ACD8EF99}">
      <dgm:prSet/>
      <dgm:spPr/>
      <dgm:t>
        <a:bodyPr/>
        <a:lstStyle/>
        <a:p>
          <a:pPr algn="ctr"/>
          <a:endParaRPr lang="en-US" sz="1100">
            <a:solidFill>
              <a:schemeClr val="bg1"/>
            </a:solidFill>
            <a:latin typeface="Cambria" panose="02040503050406030204" pitchFamily="18" charset="0"/>
            <a:ea typeface="Cambria" panose="02040503050406030204" pitchFamily="18" charset="0"/>
          </a:endParaRPr>
        </a:p>
      </dgm:t>
    </dgm:pt>
    <dgm:pt modelId="{BA4F5BDB-C21D-413A-A35F-B4241603C1F5}" type="pres">
      <dgm:prSet presAssocID="{22AA1D21-3AFC-451F-8C80-99994C16D135}" presName="diagram" presStyleCnt="0">
        <dgm:presLayoutVars>
          <dgm:dir/>
          <dgm:resizeHandles val="exact"/>
        </dgm:presLayoutVars>
      </dgm:prSet>
      <dgm:spPr/>
      <dgm:t>
        <a:bodyPr/>
        <a:lstStyle/>
        <a:p>
          <a:endParaRPr lang="en-US"/>
        </a:p>
      </dgm:t>
    </dgm:pt>
    <dgm:pt modelId="{49305303-06A7-44AE-A04D-0B86ACEB5AC3}" type="pres">
      <dgm:prSet presAssocID="{64D85CC0-87D6-4473-A9FE-0FE7A7BAAD4B}" presName="node" presStyleLbl="node1" presStyleIdx="0" presStyleCnt="1" custScaleX="138590" custScaleY="40421" custLinFactNeighborX="14916" custLinFactNeighborY="11846">
        <dgm:presLayoutVars>
          <dgm:bulletEnabled val="1"/>
        </dgm:presLayoutVars>
      </dgm:prSet>
      <dgm:spPr/>
      <dgm:t>
        <a:bodyPr/>
        <a:lstStyle/>
        <a:p>
          <a:endParaRPr lang="en-US"/>
        </a:p>
      </dgm:t>
    </dgm:pt>
  </dgm:ptLst>
  <dgm:cxnLst>
    <dgm:cxn modelId="{B8501AF7-1FE1-4CC2-B6FA-AA80ACD8EF99}" srcId="{22AA1D21-3AFC-451F-8C80-99994C16D135}" destId="{64D85CC0-87D6-4473-A9FE-0FE7A7BAAD4B}" srcOrd="0" destOrd="0" parTransId="{3251154A-2509-4D5F-AB69-0D96D8E70369}" sibTransId="{CCF64343-BF22-48AF-80BA-C497049284D3}"/>
    <dgm:cxn modelId="{E7F0A84C-F2A2-41A9-89BD-19E747E3E3FF}" type="presOf" srcId="{22AA1D21-3AFC-451F-8C80-99994C16D135}" destId="{BA4F5BDB-C21D-413A-A35F-B4241603C1F5}" srcOrd="0" destOrd="0" presId="urn:microsoft.com/office/officeart/2005/8/layout/default"/>
    <dgm:cxn modelId="{DB459640-EAA4-4E80-8D78-0D14204035FB}" type="presOf" srcId="{64D85CC0-87D6-4473-A9FE-0FE7A7BAAD4B}" destId="{49305303-06A7-44AE-A04D-0B86ACEB5AC3}" srcOrd="0" destOrd="0" presId="urn:microsoft.com/office/officeart/2005/8/layout/default"/>
    <dgm:cxn modelId="{0D22798B-960F-48BC-9C39-33344D41647D}" type="presParOf" srcId="{BA4F5BDB-C21D-413A-A35F-B4241603C1F5}" destId="{49305303-06A7-44AE-A04D-0B86ACEB5AC3}" srcOrd="0" destOrd="0" presId="urn:microsoft.com/office/officeart/2005/8/layout/default"/>
  </dgm:cxnLst>
  <dgm:bg>
    <a:noFill/>
  </dgm:bg>
  <dgm:whole>
    <a:ln>
      <a:noFill/>
    </a:ln>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5068F0-AD1D-418A-ABE8-0331CCB16470}">
      <dsp:nvSpPr>
        <dsp:cNvPr id="0" name=""/>
        <dsp:cNvSpPr/>
      </dsp:nvSpPr>
      <dsp:spPr>
        <a:xfrm rot="16200000">
          <a:off x="755679" y="0"/>
          <a:ext cx="1913362" cy="1913859"/>
        </a:xfrm>
        <a:prstGeom prst="upArrow">
          <a:avLst>
            <a:gd name="adj1" fmla="val 50000"/>
            <a:gd name="adj2" fmla="val 35000"/>
          </a:avLst>
        </a:prstGeom>
        <a:solidFill>
          <a:schemeClr val="accent4">
            <a:lumMod val="40000"/>
            <a:lumOff val="6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0" tIns="85344" rIns="0" bIns="85344" numCol="1" spcCol="1270" anchor="ctr" anchorCtr="0">
          <a:noAutofit/>
        </a:bodyPr>
        <a:lstStyle/>
        <a:p>
          <a:pPr lvl="0" algn="ctr" defTabSz="533400">
            <a:lnSpc>
              <a:spcPct val="90000"/>
            </a:lnSpc>
            <a:spcBef>
              <a:spcPct val="0"/>
            </a:spcBef>
            <a:spcAft>
              <a:spcPct val="35000"/>
            </a:spcAft>
          </a:pPr>
          <a:r>
            <a:rPr lang="bs-Latn-BA" sz="1200" b="0" kern="1200" dirty="0">
              <a:ln/>
              <a:solidFill>
                <a:sysClr val="windowText" lastClr="000000"/>
              </a:solidFill>
              <a:latin typeface="+mj-lt"/>
            </a:rPr>
            <a:t>OTKLANJANJE DISKRIMINACIJE</a:t>
          </a:r>
        </a:p>
      </dsp:txBody>
      <dsp:txXfrm rot="5400000">
        <a:off x="1090269" y="478589"/>
        <a:ext cx="1579021" cy="956681"/>
      </dsp:txXfrm>
    </dsp:sp>
    <dsp:sp modelId="{CF08C370-59C9-4B66-8CB0-37D2F678BAFF}">
      <dsp:nvSpPr>
        <dsp:cNvPr id="0" name=""/>
        <dsp:cNvSpPr/>
      </dsp:nvSpPr>
      <dsp:spPr>
        <a:xfrm rot="5400000">
          <a:off x="2913039" y="-233"/>
          <a:ext cx="1913362" cy="1913859"/>
        </a:xfrm>
        <a:prstGeom prst="upArrow">
          <a:avLst>
            <a:gd name="adj1" fmla="val 50000"/>
            <a:gd name="adj2" fmla="val 35000"/>
          </a:avLst>
        </a:prstGeom>
        <a:gradFill rotWithShape="0">
          <a:gsLst>
            <a:gs pos="0">
              <a:schemeClr val="accent5">
                <a:shade val="80000"/>
                <a:hueOff val="349283"/>
                <a:satOff val="-6256"/>
                <a:lumOff val="26585"/>
                <a:alphaOff val="0"/>
                <a:shade val="51000"/>
                <a:satMod val="130000"/>
              </a:schemeClr>
            </a:gs>
            <a:gs pos="80000">
              <a:schemeClr val="accent5">
                <a:shade val="80000"/>
                <a:hueOff val="349283"/>
                <a:satOff val="-6256"/>
                <a:lumOff val="26585"/>
                <a:alphaOff val="0"/>
                <a:shade val="93000"/>
                <a:satMod val="130000"/>
              </a:schemeClr>
            </a:gs>
            <a:gs pos="100000">
              <a:schemeClr val="accent5">
                <a:shade val="80000"/>
                <a:hueOff val="349283"/>
                <a:satOff val="-6256"/>
                <a:lumOff val="2658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0" tIns="85344" rIns="0" bIns="85344" numCol="1" spcCol="1270" anchor="ctr" anchorCtr="0">
          <a:noAutofit/>
        </a:bodyPr>
        <a:lstStyle/>
        <a:p>
          <a:pPr lvl="0" algn="ctr" defTabSz="533400">
            <a:lnSpc>
              <a:spcPct val="90000"/>
            </a:lnSpc>
            <a:spcBef>
              <a:spcPct val="0"/>
            </a:spcBef>
            <a:spcAft>
              <a:spcPct val="35000"/>
            </a:spcAft>
          </a:pPr>
          <a:r>
            <a:rPr lang="bs-Latn-BA" sz="1200" b="0" kern="1200" dirty="0">
              <a:ln w="12700"/>
              <a:latin typeface="+mj-lt"/>
            </a:rPr>
            <a:t>OSIGURAVANJE RAVNOPRAVNOSTI</a:t>
          </a:r>
        </a:p>
      </dsp:txBody>
      <dsp:txXfrm rot="-5400000">
        <a:off x="2912791" y="478357"/>
        <a:ext cx="1579021" cy="9566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734734-712D-4C1C-B62D-ABDDFB4A6761}">
      <dsp:nvSpPr>
        <dsp:cNvPr id="0" name=""/>
        <dsp:cNvSpPr/>
      </dsp:nvSpPr>
      <dsp:spPr>
        <a:xfrm>
          <a:off x="430053" y="0"/>
          <a:ext cx="4873942" cy="2109178"/>
        </a:xfrm>
        <a:prstGeom prst="rightArrow">
          <a:avLst/>
        </a:prstGeom>
        <a:solidFill>
          <a:schemeClr val="accent4">
            <a:lumMod val="40000"/>
            <a:lumOff val="60000"/>
          </a:schemeClr>
        </a:soli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EBF2800D-8073-478A-9060-129FBF8107A1}">
      <dsp:nvSpPr>
        <dsp:cNvPr id="0" name=""/>
        <dsp:cNvSpPr/>
      </dsp:nvSpPr>
      <dsp:spPr>
        <a:xfrm>
          <a:off x="0" y="632753"/>
          <a:ext cx="1720215" cy="843671"/>
        </a:xfrm>
        <a:prstGeom prst="roundRect">
          <a:avLst/>
        </a:prstGeom>
        <a:gradFill rotWithShape="0">
          <a:gsLst>
            <a:gs pos="0">
              <a:schemeClr val="accent5">
                <a:shade val="80000"/>
                <a:hueOff val="0"/>
                <a:satOff val="0"/>
                <a:lumOff val="0"/>
                <a:alphaOff val="0"/>
                <a:shade val="51000"/>
                <a:satMod val="130000"/>
              </a:schemeClr>
            </a:gs>
            <a:gs pos="80000">
              <a:schemeClr val="accent5">
                <a:shade val="80000"/>
                <a:hueOff val="0"/>
                <a:satOff val="0"/>
                <a:lumOff val="0"/>
                <a:alphaOff val="0"/>
                <a:shade val="93000"/>
                <a:satMod val="130000"/>
              </a:schemeClr>
            </a:gs>
            <a:gs pos="100000">
              <a:schemeClr val="accent5">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bs-Latn-BA" sz="1200" b="0" kern="1200">
              <a:ln/>
              <a:latin typeface="+mj-lt"/>
              <a:ea typeface="+mn-ea"/>
              <a:cs typeface="+mn-cs"/>
            </a:rPr>
            <a:t>Analiza</a:t>
          </a:r>
          <a:endParaRPr lang="en-GB" sz="1200" b="0" kern="1200">
            <a:ln/>
            <a:latin typeface="+mj-lt"/>
            <a:ea typeface="+mn-ea"/>
            <a:cs typeface="+mn-cs"/>
          </a:endParaRPr>
        </a:p>
      </dsp:txBody>
      <dsp:txXfrm>
        <a:off x="41185" y="673938"/>
        <a:ext cx="1637845" cy="761301"/>
      </dsp:txXfrm>
    </dsp:sp>
    <dsp:sp modelId="{A5933813-5D13-4961-A2EB-2C1BC9D30296}">
      <dsp:nvSpPr>
        <dsp:cNvPr id="0" name=""/>
        <dsp:cNvSpPr/>
      </dsp:nvSpPr>
      <dsp:spPr>
        <a:xfrm>
          <a:off x="2006917" y="632753"/>
          <a:ext cx="1720215" cy="843671"/>
        </a:xfrm>
        <a:prstGeom prst="roundRect">
          <a:avLst/>
        </a:prstGeom>
        <a:gradFill rotWithShape="0">
          <a:gsLst>
            <a:gs pos="0">
              <a:schemeClr val="accent5">
                <a:shade val="80000"/>
                <a:hueOff val="174641"/>
                <a:satOff val="-3128"/>
                <a:lumOff val="13293"/>
                <a:alphaOff val="0"/>
                <a:shade val="51000"/>
                <a:satMod val="130000"/>
              </a:schemeClr>
            </a:gs>
            <a:gs pos="80000">
              <a:schemeClr val="accent5">
                <a:shade val="80000"/>
                <a:hueOff val="174641"/>
                <a:satOff val="-3128"/>
                <a:lumOff val="13293"/>
                <a:alphaOff val="0"/>
                <a:shade val="93000"/>
                <a:satMod val="130000"/>
              </a:schemeClr>
            </a:gs>
            <a:gs pos="100000">
              <a:schemeClr val="accent5">
                <a:shade val="80000"/>
                <a:hueOff val="174641"/>
                <a:satOff val="-3128"/>
                <a:lumOff val="1329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bs-Latn-BA" sz="1200" b="0" kern="1200">
              <a:ln/>
              <a:latin typeface="+mj-lt"/>
              <a:ea typeface="+mn-ea"/>
              <a:cs typeface="+mn-cs"/>
            </a:rPr>
            <a:t>Definiranje problema</a:t>
          </a:r>
          <a:endParaRPr lang="en-GB" sz="1200" b="0" kern="1200">
            <a:ln/>
            <a:latin typeface="+mj-lt"/>
            <a:ea typeface="+mn-ea"/>
            <a:cs typeface="+mn-cs"/>
          </a:endParaRPr>
        </a:p>
      </dsp:txBody>
      <dsp:txXfrm>
        <a:off x="2048102" y="673938"/>
        <a:ext cx="1637845" cy="761301"/>
      </dsp:txXfrm>
    </dsp:sp>
    <dsp:sp modelId="{B7A321DF-50B4-478B-9756-F299587816E0}">
      <dsp:nvSpPr>
        <dsp:cNvPr id="0" name=""/>
        <dsp:cNvSpPr/>
      </dsp:nvSpPr>
      <dsp:spPr>
        <a:xfrm>
          <a:off x="4013835" y="632753"/>
          <a:ext cx="1720215" cy="843671"/>
        </a:xfrm>
        <a:prstGeom prst="roundRect">
          <a:avLst/>
        </a:prstGeom>
        <a:gradFill rotWithShape="0">
          <a:gsLst>
            <a:gs pos="0">
              <a:schemeClr val="accent5">
                <a:shade val="80000"/>
                <a:hueOff val="349283"/>
                <a:satOff val="-6256"/>
                <a:lumOff val="26585"/>
                <a:alphaOff val="0"/>
                <a:shade val="51000"/>
                <a:satMod val="130000"/>
              </a:schemeClr>
            </a:gs>
            <a:gs pos="80000">
              <a:schemeClr val="accent5">
                <a:shade val="80000"/>
                <a:hueOff val="349283"/>
                <a:satOff val="-6256"/>
                <a:lumOff val="26585"/>
                <a:alphaOff val="0"/>
                <a:shade val="93000"/>
                <a:satMod val="130000"/>
              </a:schemeClr>
            </a:gs>
            <a:gs pos="100000">
              <a:schemeClr val="accent5">
                <a:shade val="80000"/>
                <a:hueOff val="349283"/>
                <a:satOff val="-6256"/>
                <a:lumOff val="2658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bs-Latn-BA" sz="1200" b="0" kern="1200">
              <a:ln/>
              <a:latin typeface="+mj-lt"/>
              <a:ea typeface="+mn-ea"/>
              <a:cs typeface="+mn-cs"/>
            </a:rPr>
            <a:t>Provođenje aktivnosti i mjera</a:t>
          </a:r>
          <a:endParaRPr lang="en-GB" sz="1200" b="0" kern="1200">
            <a:ln/>
            <a:latin typeface="+mj-lt"/>
            <a:ea typeface="+mn-ea"/>
            <a:cs typeface="+mn-cs"/>
          </a:endParaRPr>
        </a:p>
      </dsp:txBody>
      <dsp:txXfrm>
        <a:off x="4055020" y="673938"/>
        <a:ext cx="1637845" cy="7613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CF6BE0-7E62-4AA4-A92C-A5129AA56180}">
      <dsp:nvSpPr>
        <dsp:cNvPr id="0" name=""/>
        <dsp:cNvSpPr/>
      </dsp:nvSpPr>
      <dsp:spPr>
        <a:xfrm>
          <a:off x="22906" y="0"/>
          <a:ext cx="1885621" cy="4472940"/>
        </a:xfrm>
        <a:prstGeom prst="roundRect">
          <a:avLst>
            <a:gd name="adj" fmla="val 10000"/>
          </a:avLst>
        </a:prstGeom>
        <a:solidFill>
          <a:schemeClr val="accent4">
            <a:lumMod val="20000"/>
            <a:lumOff val="80000"/>
          </a:schemeClr>
        </a:solidFill>
        <a:ln>
          <a:noFill/>
        </a:ln>
        <a:effectLst>
          <a:outerShdw blurRad="50800" dist="38100" dir="5400000" algn="t" rotWithShape="0">
            <a:prstClr val="black">
              <a:alpha val="40000"/>
            </a:prstClr>
          </a:outerShdw>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bs-Latn-BA" sz="1200" b="1" u="none" kern="1200">
              <a:solidFill>
                <a:schemeClr val="dk1">
                  <a:hueOff val="0"/>
                  <a:satOff val="0"/>
                  <a:lumOff val="0"/>
                </a:schemeClr>
              </a:solidFill>
              <a:latin typeface="+mj-lt"/>
            </a:rPr>
            <a:t>Srednjeročni cilj 1.</a:t>
          </a:r>
        </a:p>
        <a:p>
          <a:pPr lvl="0" algn="ctr" defTabSz="533400">
            <a:lnSpc>
              <a:spcPct val="90000"/>
            </a:lnSpc>
            <a:spcBef>
              <a:spcPct val="0"/>
            </a:spcBef>
            <a:spcAft>
              <a:spcPct val="35000"/>
            </a:spcAft>
          </a:pPr>
          <a:r>
            <a:rPr lang="bs-Latn-BA" sz="1200" b="0" u="none" kern="1200">
              <a:solidFill>
                <a:schemeClr val="dk1">
                  <a:hueOff val="0"/>
                  <a:satOff val="0"/>
                  <a:lumOff val="0"/>
                </a:schemeClr>
              </a:solidFill>
              <a:latin typeface="+mj-lt"/>
            </a:rPr>
            <a:t>Ministarstva i službe djeluju za ravnopravnost spolova</a:t>
          </a:r>
          <a:endParaRPr lang="en-GB" sz="1200" b="0" u="none" kern="1200">
            <a:solidFill>
              <a:schemeClr val="dk1">
                <a:hueOff val="0"/>
                <a:satOff val="0"/>
                <a:lumOff val="0"/>
              </a:schemeClr>
            </a:solidFill>
            <a:latin typeface="+mj-lt"/>
          </a:endParaRPr>
        </a:p>
      </dsp:txBody>
      <dsp:txXfrm>
        <a:off x="22906" y="0"/>
        <a:ext cx="1885621" cy="1341882"/>
      </dsp:txXfrm>
    </dsp:sp>
    <dsp:sp modelId="{B01F5F53-8BEA-4E74-8C87-6E14B320FA8D}">
      <dsp:nvSpPr>
        <dsp:cNvPr id="0" name=""/>
        <dsp:cNvSpPr/>
      </dsp:nvSpPr>
      <dsp:spPr>
        <a:xfrm>
          <a:off x="188840" y="1342728"/>
          <a:ext cx="1508497" cy="517456"/>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b="0" u="none" kern="1200">
              <a:ln>
                <a:noFill/>
              </a:ln>
              <a:solidFill>
                <a:sysClr val="windowText" lastClr="000000"/>
              </a:solidFill>
              <a:latin typeface="+mj-lt"/>
            </a:rPr>
            <a:t>1.</a:t>
          </a:r>
          <a:r>
            <a:rPr lang="bs-Latn-BA" sz="800" b="0" u="none" kern="1200">
              <a:ln>
                <a:noFill/>
              </a:ln>
              <a:solidFill>
                <a:sysClr val="windowText" lastClr="000000"/>
              </a:solidFill>
              <a:latin typeface="+mj-lt"/>
            </a:rPr>
            <a:t>1</a:t>
          </a:r>
          <a:r>
            <a:rPr lang="en-GB" sz="800" b="0" u="none" kern="1200">
              <a:ln>
                <a:noFill/>
              </a:ln>
              <a:solidFill>
                <a:sysClr val="windowText" lastClr="000000"/>
              </a:solidFill>
              <a:latin typeface="+mj-lt"/>
            </a:rPr>
            <a:t>. </a:t>
          </a:r>
          <a:r>
            <a:rPr lang="bs-Latn-BA" sz="800" b="0" u="none" kern="1200">
              <a:ln>
                <a:noFill/>
              </a:ln>
              <a:solidFill>
                <a:sysClr val="windowText" lastClr="000000"/>
              </a:solidFill>
              <a:latin typeface="+mj-lt"/>
            </a:rPr>
            <a:t>Analiza rada</a:t>
          </a:r>
          <a:r>
            <a:rPr lang="en-GB" sz="800" b="0" u="none" kern="1200">
              <a:ln>
                <a:noFill/>
              </a:ln>
              <a:solidFill>
                <a:sysClr val="windowText" lastClr="000000"/>
              </a:solidFill>
              <a:latin typeface="+mj-lt"/>
            </a:rPr>
            <a:t> koordinacionog odbora </a:t>
          </a:r>
          <a:r>
            <a:rPr lang="bs-Latn-BA" sz="800" b="0" u="none" kern="1200">
              <a:ln>
                <a:noFill/>
              </a:ln>
              <a:solidFill>
                <a:sysClr val="windowText" lastClr="000000"/>
              </a:solidFill>
              <a:latin typeface="+mj-lt"/>
            </a:rPr>
            <a:t>za praćenje GAPa</a:t>
          </a:r>
          <a:endParaRPr lang="en-GB" sz="800" b="0" u="none" kern="1200">
            <a:ln>
              <a:noFill/>
            </a:ln>
            <a:solidFill>
              <a:sysClr val="windowText" lastClr="000000"/>
            </a:solidFill>
            <a:latin typeface="+mj-lt"/>
          </a:endParaRPr>
        </a:p>
      </dsp:txBody>
      <dsp:txXfrm>
        <a:off x="203996" y="1357884"/>
        <a:ext cx="1478185" cy="487144"/>
      </dsp:txXfrm>
    </dsp:sp>
    <dsp:sp modelId="{E696785D-7898-4136-9C3C-29BDBA88256F}">
      <dsp:nvSpPr>
        <dsp:cNvPr id="0" name=""/>
        <dsp:cNvSpPr/>
      </dsp:nvSpPr>
      <dsp:spPr>
        <a:xfrm>
          <a:off x="188840" y="1939793"/>
          <a:ext cx="1508497" cy="517456"/>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bs-Latn-BA" sz="800" b="0" u="none" kern="1200">
              <a:solidFill>
                <a:sysClr val="windowText" lastClr="000000"/>
              </a:solidFill>
              <a:latin typeface="+mj-lt"/>
            </a:rPr>
            <a:t>1.2. </a:t>
          </a:r>
          <a:r>
            <a:rPr lang="en-GB" sz="800" b="0" u="none" kern="1200">
              <a:solidFill>
                <a:sysClr val="windowText" lastClr="000000"/>
              </a:solidFill>
              <a:latin typeface="+mj-lt"/>
            </a:rPr>
            <a:t>Kapaciteti koordinacionog odbora unaprijeđeni</a:t>
          </a:r>
          <a:endParaRPr lang="en-GB" sz="800" b="0" u="none" kern="1200">
            <a:ln>
              <a:noFill/>
            </a:ln>
            <a:solidFill>
              <a:sysClr val="windowText" lastClr="000000"/>
            </a:solidFill>
            <a:latin typeface="+mj-lt"/>
          </a:endParaRPr>
        </a:p>
      </dsp:txBody>
      <dsp:txXfrm>
        <a:off x="203996" y="1954949"/>
        <a:ext cx="1478185" cy="487144"/>
      </dsp:txXfrm>
    </dsp:sp>
    <dsp:sp modelId="{8C526EE3-A95F-4955-913A-0BB8C79019AC}">
      <dsp:nvSpPr>
        <dsp:cNvPr id="0" name=""/>
        <dsp:cNvSpPr/>
      </dsp:nvSpPr>
      <dsp:spPr>
        <a:xfrm>
          <a:off x="188840" y="2536859"/>
          <a:ext cx="1508497" cy="517456"/>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b="0" u="none" kern="1200">
              <a:ln>
                <a:noFill/>
              </a:ln>
              <a:solidFill>
                <a:sysClr val="windowText" lastClr="000000"/>
              </a:solidFill>
              <a:latin typeface="+mj-lt"/>
            </a:rPr>
            <a:t>1.</a:t>
          </a:r>
          <a:r>
            <a:rPr lang="bs-Latn-BA" sz="800" b="0" u="none" kern="1200">
              <a:ln>
                <a:noFill/>
              </a:ln>
              <a:solidFill>
                <a:sysClr val="windowText" lastClr="000000"/>
              </a:solidFill>
              <a:latin typeface="+mj-lt"/>
            </a:rPr>
            <a:t>3. </a:t>
          </a:r>
          <a:r>
            <a:rPr lang="en-GB" sz="800" b="0" u="none" kern="1200">
              <a:ln>
                <a:noFill/>
              </a:ln>
              <a:solidFill>
                <a:sysClr val="windowText" lastClr="000000"/>
              </a:solidFill>
              <a:latin typeface="+mj-lt"/>
            </a:rPr>
            <a:t>Uspostavljeni instrumenti za redovnu procjenu uticaja propisa na ravnopravnost spolova</a:t>
          </a:r>
        </a:p>
      </dsp:txBody>
      <dsp:txXfrm>
        <a:off x="203996" y="2552015"/>
        <a:ext cx="1478185" cy="487144"/>
      </dsp:txXfrm>
    </dsp:sp>
    <dsp:sp modelId="{395E55E1-2B86-44DF-B961-42A21CF89CB6}">
      <dsp:nvSpPr>
        <dsp:cNvPr id="0" name=""/>
        <dsp:cNvSpPr/>
      </dsp:nvSpPr>
      <dsp:spPr>
        <a:xfrm>
          <a:off x="188840" y="3133924"/>
          <a:ext cx="1508497" cy="517456"/>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b="0" u="none" kern="1200">
              <a:ln>
                <a:noFill/>
              </a:ln>
              <a:solidFill>
                <a:sysClr val="windowText" lastClr="000000"/>
              </a:solidFill>
              <a:latin typeface="+mj-lt"/>
            </a:rPr>
            <a:t>1.</a:t>
          </a:r>
          <a:r>
            <a:rPr lang="bs-Latn-BA" sz="800" b="0" u="none" kern="1200">
              <a:ln>
                <a:noFill/>
              </a:ln>
              <a:solidFill>
                <a:sysClr val="windowText" lastClr="000000"/>
              </a:solidFill>
              <a:latin typeface="+mj-lt"/>
            </a:rPr>
            <a:t>4</a:t>
          </a:r>
          <a:r>
            <a:rPr lang="en-GB" sz="800" b="0" u="none" kern="1200">
              <a:ln>
                <a:noFill/>
              </a:ln>
              <a:solidFill>
                <a:sysClr val="windowText" lastClr="000000"/>
              </a:solidFill>
              <a:latin typeface="+mj-lt"/>
            </a:rPr>
            <a:t>. Provedene sektorske analize mogućnosti za unapređenje stanja ravnopravnosti spolova u prioritetnim oblastima</a:t>
          </a:r>
        </a:p>
      </dsp:txBody>
      <dsp:txXfrm>
        <a:off x="203996" y="3149080"/>
        <a:ext cx="1478185" cy="487144"/>
      </dsp:txXfrm>
    </dsp:sp>
    <dsp:sp modelId="{1B046E3D-810F-4186-90D8-C13895CA63FC}">
      <dsp:nvSpPr>
        <dsp:cNvPr id="0" name=""/>
        <dsp:cNvSpPr/>
      </dsp:nvSpPr>
      <dsp:spPr>
        <a:xfrm>
          <a:off x="188840" y="3730989"/>
          <a:ext cx="1508497" cy="517456"/>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b="0" u="none" kern="1200">
              <a:ln>
                <a:noFill/>
              </a:ln>
              <a:solidFill>
                <a:sysClr val="windowText" lastClr="000000"/>
              </a:solidFill>
              <a:latin typeface="+mj-lt"/>
            </a:rPr>
            <a:t>1.</a:t>
          </a:r>
          <a:r>
            <a:rPr lang="bs-Latn-BA" sz="800" b="0" u="none" kern="1200">
              <a:ln>
                <a:noFill/>
              </a:ln>
              <a:solidFill>
                <a:sysClr val="windowText" lastClr="000000"/>
              </a:solidFill>
              <a:latin typeface="+mj-lt"/>
            </a:rPr>
            <a:t>5</a:t>
          </a:r>
          <a:r>
            <a:rPr lang="en-GB" sz="800" b="0" u="none" kern="1200">
              <a:ln>
                <a:noFill/>
              </a:ln>
              <a:solidFill>
                <a:sysClr val="windowText" lastClr="000000"/>
              </a:solidFill>
              <a:latin typeface="+mj-lt"/>
            </a:rPr>
            <a:t>. Budžet sadrži procjenu uticaja na ravnopravnost spolova (rodno-odgovorno budžetiranje)</a:t>
          </a:r>
        </a:p>
      </dsp:txBody>
      <dsp:txXfrm>
        <a:off x="203996" y="3746145"/>
        <a:ext cx="1478185" cy="487144"/>
      </dsp:txXfrm>
    </dsp:sp>
    <dsp:sp modelId="{D773D787-7E45-4E1C-9F10-92001C1852F8}">
      <dsp:nvSpPr>
        <dsp:cNvPr id="0" name=""/>
        <dsp:cNvSpPr/>
      </dsp:nvSpPr>
      <dsp:spPr>
        <a:xfrm>
          <a:off x="2027322" y="0"/>
          <a:ext cx="1674960" cy="4472940"/>
        </a:xfrm>
        <a:prstGeom prst="roundRect">
          <a:avLst>
            <a:gd name="adj" fmla="val 10000"/>
          </a:avLst>
        </a:prstGeom>
        <a:solidFill>
          <a:schemeClr val="accent4">
            <a:lumMod val="20000"/>
            <a:lumOff val="80000"/>
          </a:schemeClr>
        </a:solidFill>
        <a:ln>
          <a:noFill/>
        </a:ln>
        <a:effectLst>
          <a:outerShdw blurRad="50800" dist="38100" dir="5400000" algn="t" rotWithShape="0">
            <a:prstClr val="black">
              <a:alpha val="40000"/>
            </a:prstClr>
          </a:outerShdw>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Font typeface="Times New Roman" panose="02020603050405020304" pitchFamily="18" charset="0"/>
            <a:buNone/>
          </a:pPr>
          <a:r>
            <a:rPr lang="bs-Latn-BA" sz="1200" b="1" u="none" kern="1200">
              <a:solidFill>
                <a:sysClr val="windowText" lastClr="000000"/>
              </a:solidFill>
              <a:latin typeface="+mj-lt"/>
            </a:rPr>
            <a:t>Srednjeročni cilj 2.</a:t>
          </a:r>
          <a:r>
            <a:rPr lang="bs-Latn-BA" sz="1200" b="0" u="none" kern="1200">
              <a:solidFill>
                <a:sysClr val="windowText" lastClr="000000"/>
              </a:solidFill>
              <a:latin typeface="+mj-lt"/>
            </a:rPr>
            <a:t> </a:t>
          </a:r>
        </a:p>
        <a:p>
          <a:pPr lvl="0" algn="ctr" defTabSz="533400">
            <a:lnSpc>
              <a:spcPct val="90000"/>
            </a:lnSpc>
            <a:spcBef>
              <a:spcPct val="0"/>
            </a:spcBef>
            <a:spcAft>
              <a:spcPct val="35000"/>
            </a:spcAft>
            <a:buFont typeface="Times New Roman" panose="02020603050405020304" pitchFamily="18" charset="0"/>
            <a:buNone/>
          </a:pPr>
          <a:r>
            <a:rPr lang="bs-Latn-BA" sz="1200" b="0" u="none" kern="1200">
              <a:solidFill>
                <a:sysClr val="windowText" lastClr="000000"/>
              </a:solidFill>
              <a:latin typeface="+mj-lt"/>
            </a:rPr>
            <a:t>Unapređeno je stanje ravnopravnosti spolova na području Kantona</a:t>
          </a:r>
          <a:endParaRPr lang="en-GB" sz="1200" b="0" u="none" kern="1200">
            <a:solidFill>
              <a:sysClr val="windowText" lastClr="000000"/>
            </a:solidFill>
            <a:latin typeface="+mj-lt"/>
          </a:endParaRPr>
        </a:p>
      </dsp:txBody>
      <dsp:txXfrm>
        <a:off x="2027322" y="0"/>
        <a:ext cx="1674960" cy="1341882"/>
      </dsp:txXfrm>
    </dsp:sp>
    <dsp:sp modelId="{669205AC-36E5-4245-B13C-579C1992446A}">
      <dsp:nvSpPr>
        <dsp:cNvPr id="0" name=""/>
        <dsp:cNvSpPr/>
      </dsp:nvSpPr>
      <dsp:spPr>
        <a:xfrm>
          <a:off x="2110553" y="1342100"/>
          <a:ext cx="1508497" cy="429439"/>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b="0" u="none" kern="1200">
              <a:ln>
                <a:noFill/>
              </a:ln>
              <a:solidFill>
                <a:sysClr val="windowText" lastClr="000000"/>
              </a:solidFill>
              <a:latin typeface="+mj-lt"/>
            </a:rPr>
            <a:t>2.1. Obrazovni sektor doprinosi ravnopravnosti spolova</a:t>
          </a:r>
        </a:p>
      </dsp:txBody>
      <dsp:txXfrm>
        <a:off x="2123131" y="1354678"/>
        <a:ext cx="1483341" cy="404283"/>
      </dsp:txXfrm>
    </dsp:sp>
    <dsp:sp modelId="{305A4F42-96AB-4DD6-AEAF-5D992822631D}">
      <dsp:nvSpPr>
        <dsp:cNvPr id="0" name=""/>
        <dsp:cNvSpPr/>
      </dsp:nvSpPr>
      <dsp:spPr>
        <a:xfrm>
          <a:off x="2110553" y="1837607"/>
          <a:ext cx="1508497" cy="429439"/>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b="0" u="none" kern="1200">
              <a:ln>
                <a:noFill/>
              </a:ln>
              <a:solidFill>
                <a:sysClr val="windowText" lastClr="000000"/>
              </a:solidFill>
              <a:latin typeface="+mj-lt"/>
            </a:rPr>
            <a:t>2.2. Smanjen jaz između žena i muškaraca na tržištu rada</a:t>
          </a:r>
        </a:p>
      </dsp:txBody>
      <dsp:txXfrm>
        <a:off x="2123131" y="1850185"/>
        <a:ext cx="1483341" cy="404283"/>
      </dsp:txXfrm>
    </dsp:sp>
    <dsp:sp modelId="{ECBE8675-1CA0-453B-A8BB-AF50C4FA67B4}">
      <dsp:nvSpPr>
        <dsp:cNvPr id="0" name=""/>
        <dsp:cNvSpPr/>
      </dsp:nvSpPr>
      <dsp:spPr>
        <a:xfrm>
          <a:off x="2110553" y="2333114"/>
          <a:ext cx="1508497" cy="429439"/>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b="0" u="none" kern="1200">
              <a:ln>
                <a:noFill/>
              </a:ln>
              <a:solidFill>
                <a:sysClr val="windowText" lastClr="000000"/>
              </a:solidFill>
              <a:latin typeface="+mj-lt"/>
            </a:rPr>
            <a:t>2.</a:t>
          </a:r>
          <a:r>
            <a:rPr lang="bs-Latn-BA" sz="800" b="0" u="none" kern="1200">
              <a:ln>
                <a:noFill/>
              </a:ln>
              <a:solidFill>
                <a:sysClr val="windowText" lastClr="000000"/>
              </a:solidFill>
              <a:latin typeface="+mj-lt"/>
            </a:rPr>
            <a:t>3</a:t>
          </a:r>
          <a:r>
            <a:rPr lang="en-GB" sz="800" b="0" u="none" kern="1200">
              <a:ln>
                <a:noFill/>
              </a:ln>
              <a:solidFill>
                <a:sysClr val="windowText" lastClr="000000"/>
              </a:solidFill>
              <a:latin typeface="+mj-lt"/>
            </a:rPr>
            <a:t>. Prevencija i zaštita od nasilja u porodici i nasilja na </a:t>
          </a:r>
          <a:r>
            <a:rPr lang="bs-Latn-BA" sz="800" b="0" u="none" kern="1200">
              <a:ln>
                <a:noFill/>
              </a:ln>
              <a:solidFill>
                <a:sysClr val="windowText" lastClr="000000"/>
              </a:solidFill>
              <a:latin typeface="+mj-lt"/>
            </a:rPr>
            <a:t>osnovu spola</a:t>
          </a:r>
          <a:endParaRPr lang="en-GB" sz="800" b="0" u="none" kern="1200">
            <a:ln>
              <a:noFill/>
            </a:ln>
            <a:solidFill>
              <a:sysClr val="windowText" lastClr="000000"/>
            </a:solidFill>
            <a:latin typeface="+mj-lt"/>
          </a:endParaRPr>
        </a:p>
      </dsp:txBody>
      <dsp:txXfrm>
        <a:off x="2123131" y="2345692"/>
        <a:ext cx="1483341" cy="404283"/>
      </dsp:txXfrm>
    </dsp:sp>
    <dsp:sp modelId="{92E0D6B9-2D63-4827-98C6-12123F3FA6E5}">
      <dsp:nvSpPr>
        <dsp:cNvPr id="0" name=""/>
        <dsp:cNvSpPr/>
      </dsp:nvSpPr>
      <dsp:spPr>
        <a:xfrm>
          <a:off x="2110553" y="2828621"/>
          <a:ext cx="1508497" cy="429439"/>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b="0" u="none" kern="1200">
              <a:ln>
                <a:noFill/>
              </a:ln>
              <a:solidFill>
                <a:sysClr val="windowText" lastClr="000000"/>
              </a:solidFill>
              <a:latin typeface="+mj-lt"/>
            </a:rPr>
            <a:t>2.</a:t>
          </a:r>
          <a:r>
            <a:rPr lang="bs-Latn-BA" sz="800" b="0" u="none" kern="1200">
              <a:ln>
                <a:noFill/>
              </a:ln>
              <a:solidFill>
                <a:sysClr val="windowText" lastClr="000000"/>
              </a:solidFill>
              <a:latin typeface="+mj-lt"/>
            </a:rPr>
            <a:t>4</a:t>
          </a:r>
          <a:r>
            <a:rPr lang="en-GB" sz="800" b="0" u="none" kern="1200">
              <a:ln>
                <a:noFill/>
              </a:ln>
              <a:solidFill>
                <a:sysClr val="windowText" lastClr="000000"/>
              </a:solidFill>
              <a:latin typeface="+mj-lt"/>
            </a:rPr>
            <a:t>. Osigurana ravnopravna zastupljenost osoba muškog i ženskog spola u tijelima nad kojima Kanton vrši nadzor</a:t>
          </a:r>
        </a:p>
      </dsp:txBody>
      <dsp:txXfrm>
        <a:off x="2123131" y="2841199"/>
        <a:ext cx="1483341" cy="404283"/>
      </dsp:txXfrm>
    </dsp:sp>
    <dsp:sp modelId="{797E4662-144D-471E-B289-609F1209C52F}">
      <dsp:nvSpPr>
        <dsp:cNvPr id="0" name=""/>
        <dsp:cNvSpPr/>
      </dsp:nvSpPr>
      <dsp:spPr>
        <a:xfrm>
          <a:off x="2110553" y="3324128"/>
          <a:ext cx="1508497" cy="429439"/>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bs-Latn-BA" sz="800" b="0" u="none" kern="1200">
              <a:ln>
                <a:noFill/>
              </a:ln>
              <a:solidFill>
                <a:sysClr val="windowText" lastClr="000000"/>
              </a:solidFill>
              <a:latin typeface="+mj-lt"/>
            </a:rPr>
            <a:t>2.5. Unaprijeđeno zdravlje i seksualno i reproduktivno zdravlje</a:t>
          </a:r>
          <a:endParaRPr lang="en-GB" sz="800" b="0" u="none" kern="1200">
            <a:ln>
              <a:noFill/>
            </a:ln>
            <a:solidFill>
              <a:sysClr val="windowText" lastClr="000000"/>
            </a:solidFill>
            <a:latin typeface="+mj-lt"/>
          </a:endParaRPr>
        </a:p>
      </dsp:txBody>
      <dsp:txXfrm>
        <a:off x="2123131" y="3336706"/>
        <a:ext cx="1483341" cy="404283"/>
      </dsp:txXfrm>
    </dsp:sp>
    <dsp:sp modelId="{6DE0C4C3-BFAA-4B3F-83A5-6BEAF7F1ACE9}">
      <dsp:nvSpPr>
        <dsp:cNvPr id="0" name=""/>
        <dsp:cNvSpPr/>
      </dsp:nvSpPr>
      <dsp:spPr>
        <a:xfrm>
          <a:off x="2110553" y="3819635"/>
          <a:ext cx="1508497" cy="429439"/>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bs-Latn-BA" sz="800" b="0" u="none" kern="1200">
              <a:ln>
                <a:noFill/>
              </a:ln>
              <a:solidFill>
                <a:sysClr val="windowText" lastClr="000000"/>
              </a:solidFill>
              <a:latin typeface="+mj-lt"/>
            </a:rPr>
            <a:t>2.6. Uključena ravnopravnost spolova u kontekstu zaštite okoliša i klimatskih promjena</a:t>
          </a:r>
          <a:endParaRPr lang="en-GB" sz="800" b="0" u="none" kern="1200">
            <a:ln>
              <a:noFill/>
            </a:ln>
            <a:solidFill>
              <a:sysClr val="windowText" lastClr="000000"/>
            </a:solidFill>
            <a:latin typeface="+mj-lt"/>
          </a:endParaRPr>
        </a:p>
      </dsp:txBody>
      <dsp:txXfrm>
        <a:off x="2123131" y="3832213"/>
        <a:ext cx="1483341" cy="404283"/>
      </dsp:txXfrm>
    </dsp:sp>
    <dsp:sp modelId="{B8D19E46-DDAD-457F-B901-635613BDBDE7}">
      <dsp:nvSpPr>
        <dsp:cNvPr id="0" name=""/>
        <dsp:cNvSpPr/>
      </dsp:nvSpPr>
      <dsp:spPr>
        <a:xfrm>
          <a:off x="3843704" y="0"/>
          <a:ext cx="1885621" cy="4472940"/>
        </a:xfrm>
        <a:prstGeom prst="roundRect">
          <a:avLst>
            <a:gd name="adj" fmla="val 10000"/>
          </a:avLst>
        </a:prstGeom>
        <a:solidFill>
          <a:schemeClr val="accent4">
            <a:lumMod val="20000"/>
            <a:lumOff val="80000"/>
          </a:schemeClr>
        </a:solidFill>
        <a:ln>
          <a:noFill/>
        </a:ln>
        <a:effectLst>
          <a:outerShdw blurRad="50800" dist="38100" dir="5400000" algn="t" rotWithShape="0">
            <a:prstClr val="black">
              <a:alpha val="40000"/>
            </a:prstClr>
          </a:outerShdw>
        </a:effectLst>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Font typeface="Times New Roman" panose="02020603050405020304" pitchFamily="18" charset="0"/>
            <a:buNone/>
          </a:pPr>
          <a:endParaRPr lang="bs-Latn-BA" sz="900" b="1" u="none" kern="1200">
            <a:solidFill>
              <a:schemeClr val="dk1">
                <a:hueOff val="0"/>
                <a:satOff val="0"/>
                <a:lumOff val="0"/>
              </a:schemeClr>
            </a:solidFill>
            <a:latin typeface="+mj-lt"/>
          </a:endParaRPr>
        </a:p>
        <a:p>
          <a:pPr lvl="0" algn="ctr" defTabSz="400050">
            <a:lnSpc>
              <a:spcPct val="90000"/>
            </a:lnSpc>
            <a:spcBef>
              <a:spcPct val="0"/>
            </a:spcBef>
            <a:spcAft>
              <a:spcPct val="35000"/>
            </a:spcAft>
            <a:buFont typeface="Times New Roman" panose="02020603050405020304" pitchFamily="18" charset="0"/>
            <a:buNone/>
          </a:pPr>
          <a:r>
            <a:rPr lang="bs-Latn-BA" sz="1200" b="1" u="none" kern="1200">
              <a:solidFill>
                <a:schemeClr val="dk1">
                  <a:hueOff val="0"/>
                  <a:satOff val="0"/>
                  <a:lumOff val="0"/>
                </a:schemeClr>
              </a:solidFill>
              <a:latin typeface="+mj-lt"/>
            </a:rPr>
            <a:t>Srednjeročni cilj 3.</a:t>
          </a:r>
        </a:p>
        <a:p>
          <a:pPr lvl="0" algn="ctr" defTabSz="400050">
            <a:lnSpc>
              <a:spcPct val="90000"/>
            </a:lnSpc>
            <a:spcBef>
              <a:spcPct val="0"/>
            </a:spcBef>
            <a:spcAft>
              <a:spcPct val="35000"/>
            </a:spcAft>
            <a:buFont typeface="Times New Roman" panose="02020603050405020304" pitchFamily="18" charset="0"/>
            <a:buNone/>
          </a:pPr>
          <a:r>
            <a:rPr lang="bs-Latn-BA" sz="1200" b="0" u="none" kern="1200">
              <a:solidFill>
                <a:schemeClr val="dk1">
                  <a:hueOff val="0"/>
                  <a:satOff val="0"/>
                  <a:lumOff val="0"/>
                </a:schemeClr>
              </a:solidFill>
              <a:latin typeface="+mj-lt"/>
            </a:rPr>
            <a:t>Prati se stanje i sarađuje sa drugim akterima na unapređenju stanja ravnopravnosti spolova</a:t>
          </a:r>
          <a:endParaRPr lang="en-GB" sz="1200" b="0" u="none" kern="1200">
            <a:solidFill>
              <a:schemeClr val="dk1">
                <a:hueOff val="0"/>
                <a:satOff val="0"/>
                <a:lumOff val="0"/>
              </a:schemeClr>
            </a:solidFill>
            <a:latin typeface="+mj-lt"/>
          </a:endParaRPr>
        </a:p>
      </dsp:txBody>
      <dsp:txXfrm>
        <a:off x="3843704" y="0"/>
        <a:ext cx="1885621" cy="1341882"/>
      </dsp:txXfrm>
    </dsp:sp>
    <dsp:sp modelId="{C01DE590-6A8A-4527-B96E-6497372523A9}">
      <dsp:nvSpPr>
        <dsp:cNvPr id="0" name=""/>
        <dsp:cNvSpPr/>
      </dsp:nvSpPr>
      <dsp:spPr>
        <a:xfrm>
          <a:off x="4032266" y="1342264"/>
          <a:ext cx="1508497" cy="878753"/>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Font typeface="Times New Roman" panose="02020603050405020304" pitchFamily="18" charset="0"/>
            <a:buNone/>
          </a:pPr>
          <a:r>
            <a:rPr lang="en-GB" sz="800" b="0" u="none" kern="1200">
              <a:ln>
                <a:noFill/>
              </a:ln>
              <a:solidFill>
                <a:sysClr val="windowText" lastClr="000000"/>
              </a:solidFill>
              <a:latin typeface="+mj-lt"/>
            </a:rPr>
            <a:t>3.1. Kanton doprinosi promociji ravnopravnost spolova</a:t>
          </a:r>
        </a:p>
      </dsp:txBody>
      <dsp:txXfrm>
        <a:off x="4058004" y="1368002"/>
        <a:ext cx="1457021" cy="827277"/>
      </dsp:txXfrm>
    </dsp:sp>
    <dsp:sp modelId="{08B45FD9-1755-4A74-B46B-19EE017DF072}">
      <dsp:nvSpPr>
        <dsp:cNvPr id="0" name=""/>
        <dsp:cNvSpPr/>
      </dsp:nvSpPr>
      <dsp:spPr>
        <a:xfrm>
          <a:off x="4032266" y="2356210"/>
          <a:ext cx="1508497" cy="878753"/>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b="0" u="none" kern="1200">
              <a:ln>
                <a:noFill/>
              </a:ln>
              <a:solidFill>
                <a:sysClr val="windowText" lastClr="000000"/>
              </a:solidFill>
              <a:latin typeface="+mj-lt"/>
            </a:rPr>
            <a:t>3.2. Redovno se prati stanje ravnopravnosti spolova na području</a:t>
          </a:r>
          <a:r>
            <a:rPr lang="bs-Latn-BA" sz="800" b="0" u="none" kern="1200">
              <a:ln>
                <a:noFill/>
              </a:ln>
              <a:solidFill>
                <a:sysClr val="windowText" lastClr="000000"/>
              </a:solidFill>
              <a:latin typeface="+mj-lt"/>
            </a:rPr>
            <a:t> Kantona</a:t>
          </a:r>
          <a:endParaRPr lang="en-GB" sz="800" b="0" u="none" kern="1200">
            <a:ln>
              <a:noFill/>
            </a:ln>
            <a:solidFill>
              <a:sysClr val="windowText" lastClr="000000"/>
            </a:solidFill>
            <a:latin typeface="+mj-lt"/>
          </a:endParaRPr>
        </a:p>
      </dsp:txBody>
      <dsp:txXfrm>
        <a:off x="4058004" y="2381948"/>
        <a:ext cx="1457021" cy="827277"/>
      </dsp:txXfrm>
    </dsp:sp>
    <dsp:sp modelId="{85BABF7C-9F66-48CA-919E-614DC241976D}">
      <dsp:nvSpPr>
        <dsp:cNvPr id="0" name=""/>
        <dsp:cNvSpPr/>
      </dsp:nvSpPr>
      <dsp:spPr>
        <a:xfrm>
          <a:off x="4032266" y="3370157"/>
          <a:ext cx="1508497" cy="878753"/>
        </a:xfrm>
        <a:prstGeom prst="roundRect">
          <a:avLst>
            <a:gd name="adj" fmla="val 10000"/>
          </a:avLst>
        </a:prstGeom>
        <a:solidFill>
          <a:schemeClr val="accent5">
            <a:lumMod val="40000"/>
            <a:lumOff val="60000"/>
          </a:schemeClr>
        </a:solidFill>
        <a:ln w="9525" cap="flat" cmpd="sng" algn="ctr">
          <a:solidFill>
            <a:scrgbClr r="0" g="0" b="0"/>
          </a:solidFill>
          <a:prstDash val="solid"/>
        </a:ln>
        <a:effectLst>
          <a:outerShdw blurRad="50800" dist="38100" dir="5400000" algn="t"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b="0" u="none" kern="1200">
              <a:ln>
                <a:noFill/>
              </a:ln>
              <a:solidFill>
                <a:sysClr val="windowText" lastClr="000000"/>
              </a:solidFill>
              <a:latin typeface="+mj-lt"/>
            </a:rPr>
            <a:t>3.3. Civilno društvo učestvuje u definiranju prioriteta za djelovanje u oblasti ravnopravnosti spolova</a:t>
          </a:r>
        </a:p>
      </dsp:txBody>
      <dsp:txXfrm>
        <a:off x="4058004" y="3395895"/>
        <a:ext cx="1457021" cy="82727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57515B-B728-439B-8723-B6218A784105}">
      <dsp:nvSpPr>
        <dsp:cNvPr id="0" name=""/>
        <dsp:cNvSpPr/>
      </dsp:nvSpPr>
      <dsp:spPr>
        <a:xfrm>
          <a:off x="2771775" y="850900"/>
          <a:ext cx="2170871" cy="251175"/>
        </a:xfrm>
        <a:custGeom>
          <a:avLst/>
          <a:gdLst/>
          <a:ahLst/>
          <a:cxnLst/>
          <a:rect l="0" t="0" r="0" b="0"/>
          <a:pathLst>
            <a:path>
              <a:moveTo>
                <a:pt x="0" y="0"/>
              </a:moveTo>
              <a:lnTo>
                <a:pt x="0" y="125587"/>
              </a:lnTo>
              <a:lnTo>
                <a:pt x="2170871" y="125587"/>
              </a:lnTo>
              <a:lnTo>
                <a:pt x="2170871" y="251175"/>
              </a:lnTo>
            </a:path>
          </a:pathLst>
        </a:custGeom>
        <a:noFill/>
        <a:ln w="9525"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43838A9-4AF2-41B3-8B97-818DC80B289E}">
      <dsp:nvSpPr>
        <dsp:cNvPr id="0" name=""/>
        <dsp:cNvSpPr/>
      </dsp:nvSpPr>
      <dsp:spPr>
        <a:xfrm>
          <a:off x="2771775" y="850900"/>
          <a:ext cx="723623" cy="251175"/>
        </a:xfrm>
        <a:custGeom>
          <a:avLst/>
          <a:gdLst/>
          <a:ahLst/>
          <a:cxnLst/>
          <a:rect l="0" t="0" r="0" b="0"/>
          <a:pathLst>
            <a:path>
              <a:moveTo>
                <a:pt x="0" y="0"/>
              </a:moveTo>
              <a:lnTo>
                <a:pt x="0" y="125587"/>
              </a:lnTo>
              <a:lnTo>
                <a:pt x="723623" y="125587"/>
              </a:lnTo>
              <a:lnTo>
                <a:pt x="723623" y="251175"/>
              </a:lnTo>
            </a:path>
          </a:pathLst>
        </a:custGeom>
        <a:noFill/>
        <a:ln w="9525"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A43F2174-91E2-425A-ADC7-085988847679}">
      <dsp:nvSpPr>
        <dsp:cNvPr id="0" name=""/>
        <dsp:cNvSpPr/>
      </dsp:nvSpPr>
      <dsp:spPr>
        <a:xfrm>
          <a:off x="2048151" y="850900"/>
          <a:ext cx="723623" cy="251175"/>
        </a:xfrm>
        <a:custGeom>
          <a:avLst/>
          <a:gdLst/>
          <a:ahLst/>
          <a:cxnLst/>
          <a:rect l="0" t="0" r="0" b="0"/>
          <a:pathLst>
            <a:path>
              <a:moveTo>
                <a:pt x="723623" y="0"/>
              </a:moveTo>
              <a:lnTo>
                <a:pt x="723623" y="125587"/>
              </a:lnTo>
              <a:lnTo>
                <a:pt x="0" y="125587"/>
              </a:lnTo>
              <a:lnTo>
                <a:pt x="0" y="251175"/>
              </a:lnTo>
            </a:path>
          </a:pathLst>
        </a:custGeom>
        <a:noFill/>
        <a:ln w="9525"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84A3C09-3627-4639-9EFC-7ABF4E9532CA}">
      <dsp:nvSpPr>
        <dsp:cNvPr id="0" name=""/>
        <dsp:cNvSpPr/>
      </dsp:nvSpPr>
      <dsp:spPr>
        <a:xfrm>
          <a:off x="600903" y="850900"/>
          <a:ext cx="2170871" cy="251175"/>
        </a:xfrm>
        <a:custGeom>
          <a:avLst/>
          <a:gdLst/>
          <a:ahLst/>
          <a:cxnLst/>
          <a:rect l="0" t="0" r="0" b="0"/>
          <a:pathLst>
            <a:path>
              <a:moveTo>
                <a:pt x="2170871" y="0"/>
              </a:moveTo>
              <a:lnTo>
                <a:pt x="2170871" y="125587"/>
              </a:lnTo>
              <a:lnTo>
                <a:pt x="0" y="125587"/>
              </a:lnTo>
              <a:lnTo>
                <a:pt x="0" y="251175"/>
              </a:lnTo>
            </a:path>
          </a:pathLst>
        </a:custGeom>
        <a:noFill/>
        <a:ln w="9525"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A9683D4-7852-4644-92C2-0A447EFA9AB3}">
      <dsp:nvSpPr>
        <dsp:cNvPr id="0" name=""/>
        <dsp:cNvSpPr/>
      </dsp:nvSpPr>
      <dsp:spPr>
        <a:xfrm>
          <a:off x="1924046" y="230288"/>
          <a:ext cx="1695456" cy="620612"/>
        </a:xfrm>
        <a:prstGeom prst="rect">
          <a:avLst/>
        </a:prstGeom>
        <a:solidFill>
          <a:schemeClr val="accent5">
            <a:lumMod val="40000"/>
            <a:lumOff val="6000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bs-Latn-BA" sz="1100" kern="1200">
              <a:solidFill>
                <a:sysClr val="windowText" lastClr="000000"/>
              </a:solidFill>
              <a:latin typeface="+mj-lt"/>
              <a:cs typeface="Times New Roman" panose="02020603050405020304" pitchFamily="18" charset="0"/>
            </a:rPr>
            <a:t>Koordinacioni odbor  </a:t>
          </a:r>
        </a:p>
        <a:p>
          <a:pPr lvl="0" algn="ctr" defTabSz="488950">
            <a:lnSpc>
              <a:spcPct val="90000"/>
            </a:lnSpc>
            <a:spcBef>
              <a:spcPct val="0"/>
            </a:spcBef>
            <a:spcAft>
              <a:spcPct val="35000"/>
            </a:spcAft>
          </a:pPr>
          <a:r>
            <a:rPr lang="bs-Latn-BA" sz="1100" kern="1200">
              <a:solidFill>
                <a:sysClr val="windowText" lastClr="000000"/>
              </a:solidFill>
              <a:latin typeface="+mj-lt"/>
              <a:cs typeface="Times New Roman" panose="02020603050405020304" pitchFamily="18" charset="0"/>
            </a:rPr>
            <a:t>(polu/godišnje sjednice)</a:t>
          </a:r>
          <a:endParaRPr lang="en-US" sz="1100" kern="1200">
            <a:solidFill>
              <a:sysClr val="windowText" lastClr="000000"/>
            </a:solidFill>
            <a:latin typeface="+mj-lt"/>
            <a:cs typeface="Times New Roman" panose="02020603050405020304" pitchFamily="18" charset="0"/>
          </a:endParaRPr>
        </a:p>
      </dsp:txBody>
      <dsp:txXfrm>
        <a:off x="1924046" y="230288"/>
        <a:ext cx="1695456" cy="620612"/>
      </dsp:txXfrm>
    </dsp:sp>
    <dsp:sp modelId="{59215EBE-D769-41AC-A336-2C3625FB562F}">
      <dsp:nvSpPr>
        <dsp:cNvPr id="0" name=""/>
        <dsp:cNvSpPr/>
      </dsp:nvSpPr>
      <dsp:spPr>
        <a:xfrm>
          <a:off x="2867" y="1102075"/>
          <a:ext cx="1196072" cy="598036"/>
        </a:xfrm>
        <a:prstGeom prst="rect">
          <a:avLst/>
        </a:prstGeom>
        <a:solidFill>
          <a:schemeClr val="accent5">
            <a:lumMod val="40000"/>
            <a:lumOff val="6000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bs-Latn-BA" sz="1100" kern="1200">
              <a:solidFill>
                <a:sysClr val="windowText" lastClr="000000"/>
              </a:solidFill>
              <a:latin typeface="+mj-lt"/>
              <a:cs typeface="Times New Roman" panose="02020603050405020304" pitchFamily="18" charset="0"/>
            </a:rPr>
            <a:t>Nosioci odgovornosti</a:t>
          </a:r>
        </a:p>
        <a:p>
          <a:pPr lvl="0" algn="ctr" defTabSz="488950">
            <a:lnSpc>
              <a:spcPct val="90000"/>
            </a:lnSpc>
            <a:spcBef>
              <a:spcPct val="0"/>
            </a:spcBef>
            <a:spcAft>
              <a:spcPct val="35000"/>
            </a:spcAft>
          </a:pPr>
          <a:r>
            <a:rPr lang="bs-Latn-BA" sz="1100" kern="1200">
              <a:solidFill>
                <a:sysClr val="windowText" lastClr="000000"/>
              </a:solidFill>
              <a:latin typeface="+mj-lt"/>
              <a:cs typeface="Times New Roman" panose="02020603050405020304" pitchFamily="18" charset="0"/>
            </a:rPr>
            <a:t>(aktivnosti)</a:t>
          </a:r>
          <a:endParaRPr lang="en-US" sz="1100" kern="1200">
            <a:solidFill>
              <a:sysClr val="windowText" lastClr="000000"/>
            </a:solidFill>
            <a:latin typeface="+mj-lt"/>
            <a:cs typeface="Times New Roman" panose="02020603050405020304" pitchFamily="18" charset="0"/>
          </a:endParaRPr>
        </a:p>
      </dsp:txBody>
      <dsp:txXfrm>
        <a:off x="2867" y="1102075"/>
        <a:ext cx="1196072" cy="598036"/>
      </dsp:txXfrm>
    </dsp:sp>
    <dsp:sp modelId="{F1968D76-72DC-4DA9-B0A6-CFD2A244F740}">
      <dsp:nvSpPr>
        <dsp:cNvPr id="0" name=""/>
        <dsp:cNvSpPr/>
      </dsp:nvSpPr>
      <dsp:spPr>
        <a:xfrm>
          <a:off x="1450115" y="1102075"/>
          <a:ext cx="1196072" cy="598036"/>
        </a:xfrm>
        <a:prstGeom prst="rect">
          <a:avLst/>
        </a:prstGeom>
        <a:solidFill>
          <a:schemeClr val="accent5">
            <a:lumMod val="40000"/>
            <a:lumOff val="6000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bs-Latn-BA" sz="1100" kern="1200">
              <a:solidFill>
                <a:sysClr val="windowText" lastClr="000000"/>
              </a:solidFill>
              <a:latin typeface="+mj-lt"/>
              <a:cs typeface="Times New Roman" panose="02020603050405020304" pitchFamily="18" charset="0"/>
            </a:rPr>
            <a:t>Nosioci odgovornosti (efekat)</a:t>
          </a:r>
          <a:endParaRPr lang="en-US" sz="1100" kern="1200">
            <a:solidFill>
              <a:sysClr val="windowText" lastClr="000000"/>
            </a:solidFill>
            <a:latin typeface="+mj-lt"/>
            <a:cs typeface="Times New Roman" panose="02020603050405020304" pitchFamily="18" charset="0"/>
          </a:endParaRPr>
        </a:p>
      </dsp:txBody>
      <dsp:txXfrm>
        <a:off x="1450115" y="1102075"/>
        <a:ext cx="1196072" cy="598036"/>
      </dsp:txXfrm>
    </dsp:sp>
    <dsp:sp modelId="{8B7A5DDA-D330-4255-BE51-651E1E3E7F40}">
      <dsp:nvSpPr>
        <dsp:cNvPr id="0" name=""/>
        <dsp:cNvSpPr/>
      </dsp:nvSpPr>
      <dsp:spPr>
        <a:xfrm>
          <a:off x="2897362" y="1102075"/>
          <a:ext cx="1196072" cy="598036"/>
        </a:xfrm>
        <a:prstGeom prst="rect">
          <a:avLst/>
        </a:prstGeom>
        <a:solidFill>
          <a:schemeClr val="accent5">
            <a:lumMod val="40000"/>
            <a:lumOff val="6000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bs-Latn-BA" sz="1100" kern="1200">
              <a:solidFill>
                <a:sysClr val="windowText" lastClr="000000"/>
              </a:solidFill>
              <a:latin typeface="+mj-lt"/>
              <a:cs typeface="Times New Roman" panose="02020603050405020304" pitchFamily="18" charset="0"/>
            </a:rPr>
            <a:t>Statistički podaci (uticaj)</a:t>
          </a:r>
          <a:endParaRPr lang="en-US" sz="1100" kern="1200">
            <a:solidFill>
              <a:sysClr val="windowText" lastClr="000000"/>
            </a:solidFill>
            <a:latin typeface="+mj-lt"/>
            <a:cs typeface="Times New Roman" panose="02020603050405020304" pitchFamily="18" charset="0"/>
          </a:endParaRPr>
        </a:p>
      </dsp:txBody>
      <dsp:txXfrm>
        <a:off x="2897362" y="1102075"/>
        <a:ext cx="1196072" cy="598036"/>
      </dsp:txXfrm>
    </dsp:sp>
    <dsp:sp modelId="{8496DE34-5981-4596-92FF-8D9A104AA739}">
      <dsp:nvSpPr>
        <dsp:cNvPr id="0" name=""/>
        <dsp:cNvSpPr/>
      </dsp:nvSpPr>
      <dsp:spPr>
        <a:xfrm>
          <a:off x="4344610" y="1102075"/>
          <a:ext cx="1196072" cy="598036"/>
        </a:xfrm>
        <a:prstGeom prst="rect">
          <a:avLst/>
        </a:prstGeom>
        <a:solidFill>
          <a:schemeClr val="accent5">
            <a:lumMod val="40000"/>
            <a:lumOff val="6000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bs-Latn-BA" sz="1100" kern="1200">
              <a:solidFill>
                <a:sysClr val="windowText" lastClr="000000"/>
              </a:solidFill>
              <a:latin typeface="+mj-lt"/>
              <a:cs typeface="Times New Roman" panose="02020603050405020304" pitchFamily="18" charset="0"/>
            </a:rPr>
            <a:t>Civilno društvo i GC FBIH (drugi prioriteti)</a:t>
          </a:r>
          <a:endParaRPr lang="en-US" sz="1100" kern="1200">
            <a:solidFill>
              <a:sysClr val="windowText" lastClr="000000"/>
            </a:solidFill>
            <a:latin typeface="+mj-lt"/>
            <a:cs typeface="Times New Roman" panose="02020603050405020304" pitchFamily="18" charset="0"/>
          </a:endParaRPr>
        </a:p>
      </dsp:txBody>
      <dsp:txXfrm>
        <a:off x="4344610" y="1102075"/>
        <a:ext cx="1196072" cy="59803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05303-06A7-44AE-A04D-0B86ACEB5AC3}">
      <dsp:nvSpPr>
        <dsp:cNvPr id="0" name=""/>
        <dsp:cNvSpPr/>
      </dsp:nvSpPr>
      <dsp:spPr>
        <a:xfrm>
          <a:off x="889656" y="610"/>
          <a:ext cx="4133193" cy="723289"/>
        </a:xfrm>
        <a:prstGeom prst="rect">
          <a:avLst/>
        </a:prstGeom>
        <a:solidFill>
          <a:schemeClr val="accent5">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bs-Latn-BA" sz="1000" kern="1200">
              <a:solidFill>
                <a:sysClr val="windowText" lastClr="000000"/>
              </a:solidFill>
              <a:latin typeface="Times New Roman" panose="02020603050405020304" pitchFamily="18" charset="0"/>
              <a:ea typeface="Cambria" panose="02040503050406030204" pitchFamily="18" charset="0"/>
              <a:cs typeface="Times New Roman" panose="02020603050405020304" pitchFamily="18" charset="0"/>
            </a:rPr>
            <a:t>Koordinacioni odbor sačinjava godišnji Izvještaj o provođenju GAP koji se prezentuje Vladi sa prijedlozima zaključaka i prioritetima za narednu godinu.</a:t>
          </a:r>
        </a:p>
        <a:p>
          <a:pPr lvl="0" algn="ctr" defTabSz="444500">
            <a:lnSpc>
              <a:spcPct val="90000"/>
            </a:lnSpc>
            <a:spcBef>
              <a:spcPct val="0"/>
            </a:spcBef>
            <a:spcAft>
              <a:spcPct val="35000"/>
            </a:spcAft>
          </a:pPr>
          <a:r>
            <a:rPr lang="bs-Latn-BA" sz="1000" kern="1200">
              <a:solidFill>
                <a:sysClr val="windowText" lastClr="000000"/>
              </a:solidFill>
              <a:latin typeface="Times New Roman" panose="02020603050405020304" pitchFamily="18" charset="0"/>
              <a:ea typeface="Cambria" panose="02040503050406030204" pitchFamily="18" charset="0"/>
              <a:cs typeface="Times New Roman" panose="02020603050405020304" pitchFamily="18" charset="0"/>
            </a:rPr>
            <a:t>Izvještaj se javno objavljuje</a:t>
          </a:r>
          <a:endParaRPr lang="en-US" sz="1000" kern="1200">
            <a:solidFill>
              <a:sysClr val="windowText" lastClr="000000"/>
            </a:solidFill>
            <a:latin typeface="Times New Roman" panose="02020603050405020304" pitchFamily="18" charset="0"/>
            <a:ea typeface="Cambria" panose="02040503050406030204" pitchFamily="18" charset="0"/>
            <a:cs typeface="Times New Roman" panose="02020603050405020304" pitchFamily="18" charset="0"/>
          </a:endParaRPr>
        </a:p>
      </dsp:txBody>
      <dsp:txXfrm>
        <a:off x="889656" y="610"/>
        <a:ext cx="4133193" cy="723289"/>
      </dsp:txXfrm>
    </dsp:sp>
  </dsp:spTree>
</dsp:drawing>
</file>

<file path=word/diagrams/layout1.xml><?xml version="1.0" encoding="utf-8"?>
<dgm:layoutDef xmlns:dgm="http://schemas.openxmlformats.org/drawingml/2006/diagram" xmlns:a="http://schemas.openxmlformats.org/drawingml/2006/main" uniqueId="urn:microsoft.com/office/officeart/2005/8/layout/arrow1">
  <dgm:title val=""/>
  <dgm:desc val=""/>
  <dgm:catLst>
    <dgm:cat type="relationship" pri="7000"/>
    <dgm:cat type="process" pri="32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ycle">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equ" val="2">
        <dgm:constrLst>
          <dgm:constr type="primFontSz" for="ch" ptType="node" op="equ" val="65"/>
          <dgm:constr type="w" for="ch" ptType="node" refType="w"/>
          <dgm:constr type="h" for="ch" ptType="node" refType="w" refFor="ch" refPtType="node"/>
          <dgm:constr type="sibSp" refType="w" refFor="ch" refPtType="node" fact="0.1"/>
          <dgm:constr type="diam" refType="w" refFor="ch" refPtType="node" fact="1.1"/>
        </dgm:constrLst>
      </dgm:if>
      <dgm:if name="Name11" axis="ch" ptType="node" func="cnt" op="equ" val="5">
        <dgm:constrLst>
          <dgm:constr type="primFontSz" for="ch" ptType="node" op="equ" val="65"/>
          <dgm:constr type="w" for="ch" ptType="node" refType="w"/>
          <dgm:constr type="h" for="ch" ptType="node" refType="w" refFor="ch" refPtType="node"/>
          <dgm:constr type="sibSp" refType="w" refFor="ch" refPtType="node" fact="-0.24"/>
        </dgm:constrLst>
      </dgm:if>
      <dgm:if name="Name12" axis="ch" ptType="node" func="cnt" op="equ" val="6">
        <dgm:constrLst>
          <dgm:constr type="primFontSz" for="ch" ptType="node" op="equ" val="65"/>
          <dgm:constr type="w" for="ch" ptType="node" refType="w"/>
          <dgm:constr type="h" for="ch" ptType="node" refType="w" refFor="ch" refPtType="node"/>
          <dgm:constr type="sibSp" refType="w" refFor="ch" refPtType="node" fact="-0.2"/>
        </dgm:constrLst>
      </dgm:if>
      <dgm:if name="Name13" axis="ch" ptType="node" func="cnt" op="equ" val="8">
        <dgm:constrLst>
          <dgm:constr type="primFontSz" for="ch" ptType="node" op="equ" val="65"/>
          <dgm:constr type="w" for="ch" ptType="node" refType="w"/>
          <dgm:constr type="h" for="ch" ptType="node" refType="w" refFor="ch" refPtType="node"/>
          <dgm:constr type="sibSp" refType="w" refFor="ch" refPtType="node" fact="-0.15"/>
        </dgm:constrLst>
      </dgm:if>
      <dgm:if name="Name14" axis="ch" ptType="node" func="cnt" op="equ" val="10">
        <dgm:constrLst>
          <dgm:constr type="primFontSz" for="ch" ptType="node" op="lte" val="65"/>
          <dgm:constr type="w" for="ch" ptType="node" refType="w"/>
          <dgm:constr type="h" for="ch" ptType="node" refType="w" refFor="ch" refPtType="node"/>
          <dgm:constr type="sibSp" refType="w" refFor="ch" refPtType="node" fact="-0.24"/>
        </dgm:constrLst>
      </dgm:if>
      <dgm:else name="Name15">
        <dgm:constrLst>
          <dgm:constr type="primFontSz" for="ch" ptType="node" op="equ" val="65"/>
          <dgm:constr type="w" for="ch" ptType="node" refType="w"/>
          <dgm:constr type="h" for="ch" ptType="node" refType="w" refFor="ch" refPtType="node"/>
          <dgm:constr type="sibSp" refType="w" refFor="ch" refPtType="node" fact="-0.35"/>
        </dgm:constrLst>
      </dgm:else>
    </dgm:choose>
    <dgm:ruleLst/>
    <dgm:forEach name="Name16" axis="ch" ptType="node">
      <dgm:layoutNode name="arrow">
        <dgm:varLst>
          <dgm:bulletEnabled val="1"/>
        </dgm:varLst>
        <dgm:alg type="tx"/>
        <dgm:shape xmlns:r="http://schemas.openxmlformats.org/officeDocument/2006/relationships" type="upArrow" r:blip="">
          <dgm:adjLst>
            <dgm:adj idx="2" val="0.35"/>
          </dgm:adjLst>
        </dgm:shape>
        <dgm:presOf axis="desOrSelf" ptType="node"/>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Tuzlanski kanton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89AB21-B288-4282-8773-D1B630691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15245</Words>
  <Characters>86900</Characters>
  <Application>Microsoft Office Word</Application>
  <DocSecurity>0</DocSecurity>
  <Lines>724</Lines>
  <Paragraphs>203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Edin Šestan</dc:creator>
  <cp:keywords/>
  <dc:description/>
  <cp:lastModifiedBy>MRSPP_10.25</cp:lastModifiedBy>
  <cp:revision>2</cp:revision>
  <cp:lastPrinted>2025-08-27T10:02:00Z</cp:lastPrinted>
  <dcterms:created xsi:type="dcterms:W3CDTF">2025-11-17T08:52:00Z</dcterms:created>
  <dcterms:modified xsi:type="dcterms:W3CDTF">2025-11-17T08:52:00Z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2016-10-11T00:00:00Z</vt:filetime>
  </property>
  <property fmtid="{D5CDD505-2E9C-101B-9397-08002B2CF9AE}" pid="3" name="Creator">
    <vt:lpwstr>Microsoft® Word 2013</vt:lpwstr>
  </property>
  <property fmtid="{D5CDD505-2E9C-101B-9397-08002B2CF9AE}" pid="4" name="LastSaved">
    <vt:filetime>2018-06-11T00:00:00Z</vt:filetime>
  </property>
</Properties>
</file>